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6A5E7" w14:textId="77777777" w:rsidR="00126E85" w:rsidRDefault="00126E85" w:rsidP="00126E85">
      <w:pPr>
        <w:widowControl w:val="0"/>
        <w:pBdr>
          <w:top w:val="nil"/>
          <w:left w:val="nil"/>
          <w:bottom w:val="nil"/>
          <w:right w:val="nil"/>
          <w:between w:val="nil"/>
        </w:pBdr>
        <w:spacing w:after="0"/>
      </w:pPr>
      <w:bookmarkStart w:id="0" w:name="_heading=h.30j0zll" w:colFirst="0" w:colLast="0"/>
      <w:bookmarkStart w:id="1" w:name="_Hlk118115230"/>
      <w:bookmarkEnd w:id="0"/>
    </w:p>
    <w:p w14:paraId="12373BBA" w14:textId="628C9D1D" w:rsidR="00126E85" w:rsidRDefault="004E3CC6" w:rsidP="00126E85">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47745C0B" wp14:editId="55FBEB29">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6E85">
        <w:rPr>
          <w:noProof/>
        </w:rPr>
        <w:drawing>
          <wp:anchor distT="0" distB="0" distL="114300" distR="114300" simplePos="0" relativeHeight="251659264" behindDoc="0" locked="0" layoutInCell="1" allowOverlap="1" wp14:anchorId="40032B68" wp14:editId="67A93CC1">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6BFB19DF" w14:textId="77777777" w:rsidR="00126E85" w:rsidRDefault="00126E85" w:rsidP="00126E85">
      <w:pPr>
        <w:spacing w:before="240"/>
        <w:jc w:val="center"/>
        <w:rPr>
          <w:b/>
          <w:caps/>
          <w:sz w:val="24"/>
          <w:szCs w:val="24"/>
        </w:rPr>
      </w:pPr>
    </w:p>
    <w:bookmarkEnd w:id="2"/>
    <w:p w14:paraId="1B1C6EE8" w14:textId="77777777" w:rsidR="00126E85" w:rsidRDefault="00126E85" w:rsidP="00126E85">
      <w:pPr>
        <w:spacing w:before="240"/>
        <w:jc w:val="center"/>
        <w:rPr>
          <w:b/>
          <w:caps/>
          <w:sz w:val="24"/>
          <w:szCs w:val="24"/>
        </w:rPr>
      </w:pPr>
    </w:p>
    <w:p w14:paraId="2CD78D87" w14:textId="77777777" w:rsidR="00126E85" w:rsidRPr="002D0ED3" w:rsidRDefault="00126E85" w:rsidP="00126E8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45D4650" w14:textId="77777777" w:rsidR="00126E85" w:rsidRPr="002D0ED3" w:rsidRDefault="00126E85" w:rsidP="00126E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695F55D5" w14:textId="77777777" w:rsidR="00126E85" w:rsidRPr="002D0ED3" w:rsidRDefault="00126E85" w:rsidP="00126E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096CC65E" w14:textId="77777777" w:rsidR="00126E85" w:rsidRPr="00A33E00" w:rsidRDefault="00126E85" w:rsidP="00126E8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2D02AC89" w14:textId="77777777" w:rsidR="00126E85" w:rsidRPr="002D0ED3" w:rsidRDefault="00126E85" w:rsidP="00126E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5AA1D9F0" w14:textId="39BC89C1" w:rsidR="00126E85" w:rsidRPr="002D0ED3" w:rsidRDefault="00126E85" w:rsidP="00126E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Lot</w:t>
      </w:r>
      <w:r w:rsidR="004E3CC6">
        <w:rPr>
          <w:rFonts w:asciiTheme="minorHAnsi" w:hAnsiTheme="minorHAnsi" w:cstheme="minorHAnsi"/>
          <w:b/>
          <w:caps/>
          <w:sz w:val="24"/>
          <w:szCs w:val="24"/>
        </w:rPr>
        <w:t xml:space="preserve"> 1</w:t>
      </w:r>
    </w:p>
    <w:bookmarkEnd w:id="1"/>
    <w:bookmarkEnd w:id="3"/>
    <w:p w14:paraId="0E32A1AF" w14:textId="77777777" w:rsidR="00D732D6" w:rsidRDefault="00D732D6">
      <w:pPr>
        <w:overflowPunct/>
        <w:autoSpaceDE/>
        <w:autoSpaceDN/>
        <w:adjustRightInd/>
        <w:textAlignment w:val="auto"/>
        <w:rPr>
          <w:rFonts w:ascii="Arial" w:eastAsia="Arial" w:hAnsi="Arial"/>
          <w:b/>
          <w:color w:val="000000"/>
          <w:sz w:val="36"/>
          <w:szCs w:val="36"/>
        </w:rPr>
      </w:pPr>
      <w:r>
        <w:rPr>
          <w:rFonts w:ascii="Arial" w:eastAsia="Arial" w:hAnsi="Arial"/>
          <w:b/>
          <w:color w:val="000000"/>
          <w:sz w:val="36"/>
          <w:szCs w:val="36"/>
        </w:rPr>
        <w:br w:type="page"/>
      </w:r>
    </w:p>
    <w:p w14:paraId="477173B7" w14:textId="77777777" w:rsidR="00A30DA4" w:rsidRDefault="003F138A">
      <w:pPr>
        <w:pBdr>
          <w:top w:val="nil"/>
          <w:left w:val="nil"/>
          <w:bottom w:val="nil"/>
          <w:right w:val="nil"/>
          <w:between w:val="nil"/>
        </w:pBdr>
        <w:tabs>
          <w:tab w:val="center" w:pos="4513"/>
          <w:tab w:val="right" w:pos="9026"/>
        </w:tabs>
        <w:spacing w:after="0"/>
        <w:ind w:left="-283"/>
        <w:jc w:val="left"/>
        <w:rPr>
          <w:rFonts w:ascii="Arial" w:eastAsia="Arial" w:hAnsi="Arial"/>
          <w:b/>
          <w:color w:val="000000"/>
          <w:sz w:val="36"/>
          <w:szCs w:val="36"/>
        </w:rPr>
      </w:pPr>
      <w:r>
        <w:rPr>
          <w:rFonts w:ascii="Arial" w:eastAsia="Arial" w:hAnsi="Arial"/>
          <w:b/>
          <w:color w:val="000000"/>
          <w:sz w:val="36"/>
          <w:szCs w:val="36"/>
        </w:rPr>
        <w:lastRenderedPageBreak/>
        <w:t>Joint Schedule 7 (Financial Difficulties)</w:t>
      </w:r>
    </w:p>
    <w:tbl>
      <w:tblPr>
        <w:tblStyle w:val="a"/>
        <w:tblpPr w:leftFromText="180" w:rightFromText="180" w:vertAnchor="text" w:horzAnchor="margin" w:tblpXSpec="center" w:tblpY="834"/>
        <w:tblW w:w="10490" w:type="dxa"/>
        <w:tblBorders>
          <w:top w:val="nil"/>
          <w:left w:val="nil"/>
          <w:bottom w:val="nil"/>
          <w:right w:val="nil"/>
          <w:insideH w:val="nil"/>
          <w:insideV w:val="nil"/>
        </w:tblBorders>
        <w:tblLayout w:type="fixed"/>
        <w:tblLook w:val="0400" w:firstRow="0" w:lastRow="0" w:firstColumn="0" w:lastColumn="0" w:noHBand="0" w:noVBand="1"/>
      </w:tblPr>
      <w:tblGrid>
        <w:gridCol w:w="3686"/>
        <w:gridCol w:w="6804"/>
      </w:tblGrid>
      <w:tr w:rsidR="00AD627C" w14:paraId="00B149B1" w14:textId="77777777" w:rsidTr="004A5529">
        <w:tc>
          <w:tcPr>
            <w:tcW w:w="3686" w:type="dxa"/>
          </w:tcPr>
          <w:p w14:paraId="3C4BFDDD" w14:textId="77777777" w:rsidR="00AD627C" w:rsidRDefault="00AD627C" w:rsidP="004E3CC6">
            <w:pPr>
              <w:pBdr>
                <w:top w:val="nil"/>
                <w:left w:val="nil"/>
                <w:bottom w:val="nil"/>
                <w:right w:val="nil"/>
                <w:between w:val="nil"/>
              </w:pBdr>
              <w:tabs>
                <w:tab w:val="left" w:pos="1134"/>
              </w:tabs>
              <w:spacing w:before="120" w:after="120"/>
              <w:ind w:left="1024" w:hanging="1070"/>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6804" w:type="dxa"/>
          </w:tcPr>
          <w:p w14:paraId="4A56D835" w14:textId="77777777" w:rsidR="00AD627C" w:rsidRDefault="00AD627C" w:rsidP="004A5529">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AD627C" w14:paraId="6511E869" w14:textId="77777777" w:rsidTr="004A5529">
        <w:trPr>
          <w:trHeight w:val="1029"/>
        </w:trPr>
        <w:tc>
          <w:tcPr>
            <w:tcW w:w="3686" w:type="dxa"/>
          </w:tcPr>
          <w:p w14:paraId="2C64B603"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“Board”</w:t>
            </w:r>
          </w:p>
        </w:tc>
        <w:tc>
          <w:tcPr>
            <w:tcW w:w="6804" w:type="dxa"/>
          </w:tcPr>
          <w:p w14:paraId="2EA75919"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AD627C" w14:paraId="4883AA3E" w14:textId="77777777" w:rsidTr="004A5529">
        <w:tc>
          <w:tcPr>
            <w:tcW w:w="3686" w:type="dxa"/>
          </w:tcPr>
          <w:p w14:paraId="7B0E01E9"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“Board Confirmation”</w:t>
            </w:r>
          </w:p>
        </w:tc>
        <w:tc>
          <w:tcPr>
            <w:tcW w:w="6804" w:type="dxa"/>
          </w:tcPr>
          <w:p w14:paraId="636C303E"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AD627C" w14:paraId="745A44B2" w14:textId="77777777" w:rsidTr="004A5529">
        <w:tc>
          <w:tcPr>
            <w:tcW w:w="3686" w:type="dxa"/>
          </w:tcPr>
          <w:p w14:paraId="7E26DFB1"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“Bronze Contract”</w:t>
            </w:r>
          </w:p>
        </w:tc>
        <w:tc>
          <w:tcPr>
            <w:tcW w:w="6804" w:type="dxa"/>
          </w:tcPr>
          <w:p w14:paraId="34607AF8"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A Call-Off Contract categorised as a </w:t>
            </w:r>
            <w:proofErr w:type="gramStart"/>
            <w:r>
              <w:rPr>
                <w:rFonts w:ascii="Arial" w:eastAsia="Arial" w:hAnsi="Arial"/>
                <w:color w:val="000000"/>
                <w:sz w:val="24"/>
                <w:szCs w:val="24"/>
              </w:rPr>
              <w:t>Bronze</w:t>
            </w:r>
            <w:proofErr w:type="gramEnd"/>
            <w:r>
              <w:rPr>
                <w:rFonts w:ascii="Arial" w:eastAsia="Arial" w:hAnsi="Arial"/>
                <w:color w:val="000000"/>
                <w:sz w:val="24"/>
                <w:szCs w:val="24"/>
              </w:rPr>
              <w:t xml:space="preserve"> contract using the Cabinet Office Contract Tiering Tool;</w:t>
            </w:r>
          </w:p>
        </w:tc>
      </w:tr>
      <w:tr w:rsidR="00AD627C" w14:paraId="408092A2" w14:textId="77777777" w:rsidTr="004A5529">
        <w:tc>
          <w:tcPr>
            <w:tcW w:w="3686" w:type="dxa"/>
          </w:tcPr>
          <w:p w14:paraId="460A613E"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6804" w:type="dxa"/>
          </w:tcPr>
          <w:p w14:paraId="174155AD"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AD627C" w14:paraId="72FDF90F" w14:textId="77777777" w:rsidTr="004A5529">
        <w:tc>
          <w:tcPr>
            <w:tcW w:w="3686" w:type="dxa"/>
          </w:tcPr>
          <w:p w14:paraId="1F8620F4"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6804" w:type="dxa"/>
          </w:tcPr>
          <w:p w14:paraId="77AAEAC8"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AD627C" w14:paraId="3394C6CB" w14:textId="77777777" w:rsidTr="004A5529">
        <w:tc>
          <w:tcPr>
            <w:tcW w:w="3686" w:type="dxa"/>
          </w:tcPr>
          <w:p w14:paraId="14489EC7"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“FDE Group”</w:t>
            </w:r>
          </w:p>
        </w:tc>
        <w:tc>
          <w:tcPr>
            <w:tcW w:w="6804" w:type="dxa"/>
          </w:tcPr>
          <w:p w14:paraId="40FFE22E" w14:textId="103158CE"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w:t>
            </w:r>
            <w:r w:rsidRPr="004A5529">
              <w:rPr>
                <w:rFonts w:ascii="Arial" w:eastAsia="Arial" w:hAnsi="Arial"/>
                <w:color w:val="000000"/>
                <w:sz w:val="24"/>
                <w:szCs w:val="24"/>
              </w:rPr>
              <w:t>Supplier, Key Sub-</w:t>
            </w:r>
            <w:proofErr w:type="gramStart"/>
            <w:r w:rsidRPr="004A5529">
              <w:rPr>
                <w:rFonts w:ascii="Arial" w:eastAsia="Arial" w:hAnsi="Arial"/>
                <w:color w:val="000000"/>
                <w:sz w:val="24"/>
                <w:szCs w:val="24"/>
              </w:rPr>
              <w:t>contractors</w:t>
            </w:r>
            <w:proofErr w:type="gramEnd"/>
            <w:r w:rsidR="00AF2C0B" w:rsidRPr="004A5529">
              <w:rPr>
                <w:rFonts w:ascii="Arial" w:eastAsia="Arial" w:hAnsi="Arial"/>
                <w:color w:val="000000"/>
                <w:sz w:val="24"/>
                <w:szCs w:val="24"/>
              </w:rPr>
              <w:t xml:space="preserve"> and </w:t>
            </w:r>
            <w:r w:rsidRPr="004A5529">
              <w:rPr>
                <w:rFonts w:ascii="Arial" w:eastAsia="Arial" w:hAnsi="Arial"/>
                <w:color w:val="000000"/>
                <w:sz w:val="24"/>
                <w:szCs w:val="24"/>
              </w:rPr>
              <w:t>the Guarantor</w:t>
            </w:r>
            <w:r w:rsidR="004A5529">
              <w:rPr>
                <w:rFonts w:ascii="Arial" w:eastAsia="Arial" w:hAnsi="Arial"/>
                <w:color w:val="000000"/>
                <w:sz w:val="24"/>
                <w:szCs w:val="24"/>
              </w:rPr>
              <w:t>.</w:t>
            </w:r>
          </w:p>
        </w:tc>
      </w:tr>
      <w:tr w:rsidR="00AD627C" w14:paraId="2BD45E4D" w14:textId="77777777" w:rsidTr="004A5529">
        <w:tc>
          <w:tcPr>
            <w:tcW w:w="3686" w:type="dxa"/>
          </w:tcPr>
          <w:p w14:paraId="6D9B298B"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6804" w:type="dxa"/>
          </w:tcPr>
          <w:p w14:paraId="7495A47E"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AD627C" w14:paraId="7EA0434C" w14:textId="77777777" w:rsidTr="004A5529">
        <w:tc>
          <w:tcPr>
            <w:tcW w:w="3686" w:type="dxa"/>
          </w:tcPr>
          <w:p w14:paraId="0D327270"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6804" w:type="dxa"/>
          </w:tcPr>
          <w:p w14:paraId="635CEA95"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the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AD627C" w14:paraId="7118BFC1" w14:textId="77777777" w:rsidTr="004A5529">
        <w:tc>
          <w:tcPr>
            <w:tcW w:w="3686" w:type="dxa"/>
          </w:tcPr>
          <w:p w14:paraId="6542AD66"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“Financial Indicators”</w:t>
            </w:r>
          </w:p>
        </w:tc>
        <w:tc>
          <w:tcPr>
            <w:tcW w:w="6804" w:type="dxa"/>
          </w:tcPr>
          <w:p w14:paraId="4A030662" w14:textId="77777777" w:rsidR="00AD627C" w:rsidRDefault="00AD627C" w:rsidP="004A552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 respect of the Supplier, Key Sub-</w:t>
            </w:r>
            <w:proofErr w:type="gramStart"/>
            <w:r>
              <w:rPr>
                <w:rFonts w:ascii="Arial" w:eastAsia="Arial" w:hAnsi="Arial"/>
                <w:color w:val="000000"/>
                <w:sz w:val="24"/>
                <w:szCs w:val="24"/>
              </w:rPr>
              <w:t>contractors</w:t>
            </w:r>
            <w:proofErr w:type="gramEnd"/>
            <w:r>
              <w:rPr>
                <w:rFonts w:ascii="Arial" w:eastAsia="Arial" w:hAnsi="Arial"/>
                <w:color w:val="000000"/>
                <w:sz w:val="24"/>
                <w:szCs w:val="24"/>
              </w:rPr>
              <w:t xml:space="preserve"> and the Guarantor, means each of the financial indicators set out at paragraph 5.1 of this Schedule and in respect of each Monitored Supplier, means those Applicable Financial Indicators;</w:t>
            </w:r>
          </w:p>
        </w:tc>
      </w:tr>
      <w:tr w:rsidR="00AD627C" w14:paraId="4735BF2F" w14:textId="77777777" w:rsidTr="004A5529">
        <w:tc>
          <w:tcPr>
            <w:tcW w:w="3686" w:type="dxa"/>
          </w:tcPr>
          <w:p w14:paraId="5D814D5E"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“Financial Target Thresholds”</w:t>
            </w:r>
          </w:p>
        </w:tc>
        <w:tc>
          <w:tcPr>
            <w:tcW w:w="6804" w:type="dxa"/>
          </w:tcPr>
          <w:p w14:paraId="4481EB89" w14:textId="77777777" w:rsidR="00AD627C" w:rsidRDefault="00AD627C" w:rsidP="004E3CC6">
            <w:pPr>
              <w:pBdr>
                <w:top w:val="nil"/>
                <w:left w:val="nil"/>
                <w:bottom w:val="nil"/>
                <w:right w:val="nil"/>
                <w:between w:val="nil"/>
              </w:pBdr>
              <w:tabs>
                <w:tab w:val="left" w:pos="1134"/>
              </w:tabs>
              <w:spacing w:before="120" w:after="120"/>
              <w:ind w:left="644" w:hanging="1004"/>
              <w:jc w:val="center"/>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AD627C" w14:paraId="0A9DEAF3" w14:textId="77777777" w:rsidTr="004A5529">
        <w:tc>
          <w:tcPr>
            <w:tcW w:w="3686" w:type="dxa"/>
          </w:tcPr>
          <w:p w14:paraId="73F454CC"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“Monitored Suppliers”</w:t>
            </w:r>
          </w:p>
        </w:tc>
        <w:tc>
          <w:tcPr>
            <w:tcW w:w="6804" w:type="dxa"/>
          </w:tcPr>
          <w:p w14:paraId="7F66176F" w14:textId="77777777" w:rsidR="00AD627C" w:rsidRDefault="00AD627C" w:rsidP="004E3CC6">
            <w:pPr>
              <w:pBdr>
                <w:top w:val="nil"/>
                <w:left w:val="nil"/>
                <w:bottom w:val="nil"/>
                <w:right w:val="nil"/>
                <w:between w:val="nil"/>
              </w:pBdr>
              <w:tabs>
                <w:tab w:val="left" w:pos="1134"/>
              </w:tabs>
              <w:spacing w:before="120" w:after="120"/>
              <w:ind w:left="644" w:hanging="1004"/>
              <w:jc w:val="center"/>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AD627C" w14:paraId="7FF25ED6" w14:textId="77777777" w:rsidTr="004A5529">
        <w:tc>
          <w:tcPr>
            <w:tcW w:w="3686" w:type="dxa"/>
          </w:tcPr>
          <w:p w14:paraId="674B15DC"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t>“Rating Agencies”</w:t>
            </w:r>
          </w:p>
        </w:tc>
        <w:tc>
          <w:tcPr>
            <w:tcW w:w="6804" w:type="dxa"/>
          </w:tcPr>
          <w:p w14:paraId="469291DB" w14:textId="77777777" w:rsidR="00AD627C" w:rsidRDefault="00AD627C" w:rsidP="004E3CC6">
            <w:pPr>
              <w:pBdr>
                <w:top w:val="nil"/>
                <w:left w:val="nil"/>
                <w:bottom w:val="nil"/>
                <w:right w:val="nil"/>
                <w:between w:val="nil"/>
              </w:pBdr>
              <w:tabs>
                <w:tab w:val="left" w:pos="1134"/>
              </w:tabs>
              <w:spacing w:before="120" w:after="120"/>
              <w:ind w:left="644" w:hanging="1004"/>
              <w:jc w:val="center"/>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AD627C" w14:paraId="6AAD9707" w14:textId="77777777" w:rsidTr="004A5529">
        <w:tc>
          <w:tcPr>
            <w:tcW w:w="3686" w:type="dxa"/>
          </w:tcPr>
          <w:p w14:paraId="102D479C" w14:textId="77777777" w:rsidR="00AD627C" w:rsidRDefault="00AD627C" w:rsidP="004E3CC6">
            <w:pPr>
              <w:pBdr>
                <w:top w:val="nil"/>
                <w:left w:val="nil"/>
                <w:bottom w:val="nil"/>
                <w:right w:val="nil"/>
                <w:between w:val="nil"/>
              </w:pBdr>
              <w:tabs>
                <w:tab w:val="left" w:pos="1134"/>
              </w:tabs>
              <w:spacing w:before="120" w:after="120"/>
              <w:ind w:left="645" w:hanging="1070"/>
              <w:jc w:val="center"/>
              <w:rPr>
                <w:rFonts w:ascii="Arial" w:eastAsia="Arial" w:hAnsi="Arial"/>
                <w:b/>
                <w:color w:val="000000"/>
                <w:sz w:val="24"/>
                <w:szCs w:val="24"/>
              </w:rPr>
            </w:pPr>
            <w:r>
              <w:rPr>
                <w:rFonts w:ascii="Arial" w:eastAsia="Arial" w:hAnsi="Arial"/>
                <w:b/>
                <w:color w:val="000000"/>
                <w:sz w:val="24"/>
                <w:szCs w:val="24"/>
              </w:rPr>
              <w:lastRenderedPageBreak/>
              <w:t>“Strategic Supplier”</w:t>
            </w:r>
          </w:p>
        </w:tc>
        <w:tc>
          <w:tcPr>
            <w:tcW w:w="6804" w:type="dxa"/>
          </w:tcPr>
          <w:p w14:paraId="3420D58F" w14:textId="77777777" w:rsidR="00AD627C" w:rsidRDefault="00AD627C" w:rsidP="004E3CC6">
            <w:pPr>
              <w:pBdr>
                <w:top w:val="nil"/>
                <w:left w:val="nil"/>
                <w:bottom w:val="nil"/>
                <w:right w:val="nil"/>
                <w:between w:val="nil"/>
              </w:pBdr>
              <w:tabs>
                <w:tab w:val="left" w:pos="1134"/>
              </w:tabs>
              <w:spacing w:before="120" w:after="120"/>
              <w:ind w:left="644" w:hanging="1004"/>
              <w:jc w:val="center"/>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10">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1B5AC5FB" w14:textId="091483C7" w:rsidR="00A30DA4" w:rsidRDefault="00A30DA4" w:rsidP="00B96B3F">
      <w:pPr>
        <w:pBdr>
          <w:top w:val="nil"/>
          <w:left w:val="nil"/>
          <w:bottom w:val="nil"/>
          <w:right w:val="nil"/>
          <w:between w:val="nil"/>
        </w:pBdr>
        <w:tabs>
          <w:tab w:val="left" w:pos="1985"/>
        </w:tabs>
        <w:spacing w:before="120" w:after="120"/>
        <w:jc w:val="left"/>
        <w:rPr>
          <w:rFonts w:ascii="Arial" w:eastAsia="Arial" w:hAnsi="Arial"/>
          <w:color w:val="000000"/>
          <w:sz w:val="36"/>
          <w:szCs w:val="36"/>
        </w:rPr>
      </w:pPr>
    </w:p>
    <w:p w14:paraId="0469E004" w14:textId="77777777" w:rsidR="00A30DA4" w:rsidRDefault="00A30DA4">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6CC3A4E9"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89A65F9" w14:textId="77777777" w:rsidR="00A30DA4" w:rsidRDefault="003F138A">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4646C784" w14:textId="77777777" w:rsidR="00A30DA4" w:rsidRDefault="00A30DA4">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p w14:paraId="07642CC2"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2915B79D" w14:textId="77777777" w:rsidR="00A30DA4" w:rsidRDefault="003F138A">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4131D129"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2F31E48B"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28196963"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71ECB9FA"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21A7A2CF"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entity in the FDE Group with the Rating </w:t>
      </w:r>
      <w:proofErr w:type="gramStart"/>
      <w:r>
        <w:rPr>
          <w:rFonts w:ascii="Arial" w:eastAsia="Arial" w:hAnsi="Arial"/>
          <w:color w:val="000000"/>
          <w:sz w:val="24"/>
          <w:szCs w:val="24"/>
        </w:rPr>
        <w:t>Agencies;</w:t>
      </w:r>
      <w:proofErr w:type="gramEnd"/>
    </w:p>
    <w:p w14:paraId="371DA3C2"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07202B09"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81FBEC6"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74E6AF35"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50DC7911"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proofErr w:type="gramStart"/>
      <w:r>
        <w:rPr>
          <w:rFonts w:ascii="Arial" w:eastAsia="Arial" w:hAnsi="Arial"/>
          <w:color w:val="000000"/>
          <w:sz w:val="24"/>
          <w:szCs w:val="24"/>
        </w:rPr>
        <w:t>entities;</w:t>
      </w:r>
      <w:proofErr w:type="gramEnd"/>
    </w:p>
    <w:p w14:paraId="351D61E9"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contain a sufficient level of information to enable the Relevant Authority to verify the calculations that have been made in respect of the Financial </w:t>
      </w:r>
      <w:proofErr w:type="gramStart"/>
      <w:r>
        <w:rPr>
          <w:rFonts w:ascii="Arial" w:eastAsia="Arial" w:hAnsi="Arial"/>
          <w:color w:val="000000"/>
          <w:sz w:val="24"/>
          <w:szCs w:val="24"/>
        </w:rPr>
        <w:t>Indicators;</w:t>
      </w:r>
      <w:proofErr w:type="gramEnd"/>
    </w:p>
    <w:p w14:paraId="4341EE3A"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that has been relied on) as separate </w:t>
      </w:r>
      <w:proofErr w:type="gramStart"/>
      <w:r>
        <w:rPr>
          <w:rFonts w:ascii="Arial" w:eastAsia="Arial" w:hAnsi="Arial"/>
          <w:color w:val="000000"/>
          <w:sz w:val="24"/>
          <w:szCs w:val="24"/>
        </w:rPr>
        <w:t>annexes;</w:t>
      </w:r>
      <w:proofErr w:type="gramEnd"/>
    </w:p>
    <w:p w14:paraId="535D04F4"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3293F555"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71379EE9"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7DD83319"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6A2D39FE"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credit rating of an FDE Group entity dropping below the applicable Credit Rating </w:t>
      </w:r>
      <w:proofErr w:type="gramStart"/>
      <w:r>
        <w:rPr>
          <w:rFonts w:ascii="Arial" w:eastAsia="Arial" w:hAnsi="Arial"/>
          <w:color w:val="000000"/>
          <w:sz w:val="24"/>
          <w:szCs w:val="24"/>
        </w:rPr>
        <w:t>Threshold;</w:t>
      </w:r>
      <w:proofErr w:type="gramEnd"/>
    </w:p>
    <w:p w14:paraId="6416C579"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case about a material deterioration in its financial position or </w:t>
      </w:r>
      <w:proofErr w:type="gramStart"/>
      <w:r>
        <w:rPr>
          <w:rFonts w:ascii="Arial" w:eastAsia="Arial" w:hAnsi="Arial"/>
          <w:color w:val="000000"/>
          <w:sz w:val="24"/>
          <w:szCs w:val="24"/>
        </w:rPr>
        <w:t>prospects;</w:t>
      </w:r>
      <w:proofErr w:type="gramEnd"/>
    </w:p>
    <w:p w14:paraId="58A2AAFE"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an FDE Group </w:t>
      </w:r>
      <w:proofErr w:type="gramStart"/>
      <w:r>
        <w:rPr>
          <w:rFonts w:ascii="Arial" w:eastAsia="Arial" w:hAnsi="Arial"/>
          <w:color w:val="000000"/>
          <w:sz w:val="24"/>
          <w:szCs w:val="24"/>
        </w:rPr>
        <w:t>entity;</w:t>
      </w:r>
      <w:proofErr w:type="gramEnd"/>
    </w:p>
    <w:p w14:paraId="7386ABA9"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committing a material breach of covenant to its </w:t>
      </w:r>
      <w:proofErr w:type="gramStart"/>
      <w:r>
        <w:rPr>
          <w:rFonts w:ascii="Arial" w:eastAsia="Arial" w:hAnsi="Arial"/>
          <w:color w:val="000000"/>
          <w:sz w:val="24"/>
          <w:szCs w:val="24"/>
        </w:rPr>
        <w:t>lenders;</w:t>
      </w:r>
      <w:proofErr w:type="gramEnd"/>
    </w:p>
    <w:p w14:paraId="107466FC"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Key Sub-contractor notifying CCS or the Buyer that the Supplier has not satisfied any material sums properly due under a specified invoice and not subject to a genuine </w:t>
      </w:r>
      <w:proofErr w:type="gramStart"/>
      <w:r>
        <w:rPr>
          <w:rFonts w:ascii="Arial" w:eastAsia="Arial" w:hAnsi="Arial"/>
          <w:color w:val="000000"/>
          <w:sz w:val="24"/>
          <w:szCs w:val="24"/>
        </w:rPr>
        <w:t>dispute;</w:t>
      </w:r>
      <w:proofErr w:type="gramEnd"/>
    </w:p>
    <w:p w14:paraId="5C9F9D4C"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72625EF2" w14:textId="77777777" w:rsidR="00A30DA4" w:rsidRDefault="003F138A">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lastRenderedPageBreak/>
        <w:t>commencement of any litigation against an FDE Group entity with respect to financial indebtedness greater than £5m or obligations under a service contract with a total contract value greater than £</w:t>
      </w:r>
      <w:proofErr w:type="gramStart"/>
      <w:r>
        <w:rPr>
          <w:rFonts w:ascii="Arial" w:eastAsia="Arial" w:hAnsi="Arial"/>
          <w:color w:val="000000"/>
          <w:sz w:val="24"/>
          <w:szCs w:val="24"/>
        </w:rPr>
        <w:t>5m;</w:t>
      </w:r>
      <w:proofErr w:type="gramEnd"/>
      <w:r>
        <w:rPr>
          <w:rFonts w:ascii="Arial" w:eastAsia="Arial" w:hAnsi="Arial"/>
          <w:color w:val="000000"/>
          <w:sz w:val="24"/>
          <w:szCs w:val="24"/>
        </w:rPr>
        <w:t xml:space="preserve"> </w:t>
      </w:r>
    </w:p>
    <w:p w14:paraId="42E17129" w14:textId="77777777" w:rsidR="00A30DA4" w:rsidRDefault="003F138A">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non-payment by an FDE Group entity of any financial </w:t>
      </w:r>
      <w:proofErr w:type="gramStart"/>
      <w:r>
        <w:rPr>
          <w:rFonts w:ascii="Arial" w:eastAsia="Arial" w:hAnsi="Arial"/>
          <w:color w:val="000000"/>
          <w:sz w:val="24"/>
          <w:szCs w:val="24"/>
        </w:rPr>
        <w:t>indebtedness;</w:t>
      </w:r>
      <w:proofErr w:type="gramEnd"/>
    </w:p>
    <w:p w14:paraId="5DBF067D" w14:textId="77777777" w:rsidR="00A30DA4" w:rsidRDefault="003F138A">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any financial indebtedness of an FDE Group entity becoming due as a result of an event of </w:t>
      </w:r>
      <w:proofErr w:type="gramStart"/>
      <w:r>
        <w:rPr>
          <w:rFonts w:ascii="Arial" w:eastAsia="Arial" w:hAnsi="Arial"/>
          <w:color w:val="000000"/>
          <w:sz w:val="24"/>
          <w:szCs w:val="24"/>
        </w:rPr>
        <w:t>default;</w:t>
      </w:r>
      <w:proofErr w:type="gramEnd"/>
    </w:p>
    <w:p w14:paraId="0468C607" w14:textId="77777777" w:rsidR="00A30DA4" w:rsidRDefault="003F138A">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42819B23" w14:textId="77777777" w:rsidR="00A30DA4" w:rsidRDefault="003F138A">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emphasis of matter in, its opinion on the statutory accounts of that FDE </w:t>
      </w:r>
      <w:proofErr w:type="gramStart"/>
      <w:r>
        <w:rPr>
          <w:rFonts w:ascii="Arial" w:eastAsia="Arial" w:hAnsi="Arial"/>
          <w:color w:val="000000"/>
          <w:sz w:val="24"/>
          <w:szCs w:val="24"/>
        </w:rPr>
        <w:t>entity;</w:t>
      </w:r>
      <w:proofErr w:type="gramEnd"/>
    </w:p>
    <w:p w14:paraId="01296815" w14:textId="77777777" w:rsidR="00A30DA4" w:rsidRDefault="003F138A">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2C8AA35B" w14:textId="77777777" w:rsidR="00A30DA4" w:rsidRDefault="003F138A">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5DA9969A"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14:paraId="4E036E4B"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74AB1B65"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6346DDF6"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30BE1257"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06D263A2"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5044F107"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t>
      </w:r>
      <w:r>
        <w:rPr>
          <w:rFonts w:ascii="Arial" w:eastAsia="Arial" w:hAnsi="Arial"/>
          <w:color w:val="000000"/>
          <w:sz w:val="24"/>
          <w:szCs w:val="24"/>
        </w:rPr>
        <w:lastRenderedPageBreak/>
        <w:t>writing) to review the effect of the Financial Distress Event on the continued performance and delivery of the Services in accordance with the Contract; and</w:t>
      </w:r>
    </w:p>
    <w:p w14:paraId="7FDF75B4"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14:paraId="3AB36444" w14:textId="77777777" w:rsidR="00A30DA4" w:rsidRDefault="003F138A">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0F1A5182" w14:textId="77777777" w:rsidR="00A30DA4" w:rsidRDefault="003F138A">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to the extent that it is legally permitted to do so and subject to Paragraph 4.8, provide such information relating to the Supplier, any Monitored Supplier, Key Sub-contractors and/or the Guarantor as the Buyer may reasonably require </w:t>
      </w:r>
      <w:proofErr w:type="gramStart"/>
      <w:r>
        <w:rPr>
          <w:rFonts w:ascii="Arial" w:eastAsia="Arial" w:hAnsi="Arial"/>
          <w:color w:val="000000"/>
          <w:sz w:val="24"/>
          <w:szCs w:val="24"/>
        </w:rPr>
        <w:t>in order to</w:t>
      </w:r>
      <w:proofErr w:type="gramEnd"/>
      <w:r>
        <w:rPr>
          <w:rFonts w:ascii="Arial" w:eastAsia="Arial" w:hAnsi="Arial"/>
          <w:color w:val="000000"/>
          <w:sz w:val="24"/>
          <w:szCs w:val="24"/>
        </w:rPr>
        <w:t xml:space="preserve"> understand the risk to the Deliverables, which may include forecasts in relation to cash flow, orders and profits and details of financial measures being considered to mitigate the impact of the Financial Distress Event.</w:t>
      </w:r>
    </w:p>
    <w:p w14:paraId="7FB5A2AB"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762E6E08"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E40291B"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2E75E8EC"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7C755FCD" w14:textId="77777777" w:rsidR="00A30DA4" w:rsidRDefault="003F138A">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lastRenderedPageBreak/>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3DE932E9" w14:textId="77777777" w:rsidR="00A30DA4" w:rsidRDefault="003F138A">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w:t>
      </w:r>
      <w:proofErr w:type="gramStart"/>
      <w:r>
        <w:rPr>
          <w:rFonts w:ascii="Arial" w:eastAsia="Arial" w:hAnsi="Arial"/>
          <w:color w:val="000000"/>
          <w:sz w:val="24"/>
          <w:szCs w:val="24"/>
        </w:rPr>
        <w:t>changes;</w:t>
      </w:r>
      <w:proofErr w:type="gramEnd"/>
    </w:p>
    <w:p w14:paraId="3652DCCD"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23ED7B3E"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689DBA09"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05F6D42C"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69365AD9"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obtaining in advance written authority from Key Sub-contractors, the Guarantor and/or Monitored Suppliers authorising the disclosure of the information to the Buyer and/or entering into confidentiality agreements which permit </w:t>
      </w:r>
      <w:proofErr w:type="gramStart"/>
      <w:r>
        <w:rPr>
          <w:rFonts w:ascii="Arial" w:eastAsia="Arial" w:hAnsi="Arial"/>
          <w:color w:val="000000"/>
          <w:sz w:val="24"/>
          <w:szCs w:val="24"/>
        </w:rPr>
        <w:t>disclosure;</w:t>
      </w:r>
      <w:proofErr w:type="gramEnd"/>
    </w:p>
    <w:p w14:paraId="65481FE1"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agreeing in advance with the Relevant Authority, Key Sub-contractors, the Guarantor and/or Monitored Suppliers a form of confidentiality agreement to be entered by the relevant parties to enable the disclosure of the information to the Relevant </w:t>
      </w:r>
      <w:proofErr w:type="gramStart"/>
      <w:r>
        <w:rPr>
          <w:rFonts w:ascii="Arial" w:eastAsia="Arial" w:hAnsi="Arial"/>
          <w:color w:val="000000"/>
          <w:sz w:val="24"/>
          <w:szCs w:val="24"/>
        </w:rPr>
        <w:t>Authority;</w:t>
      </w:r>
      <w:proofErr w:type="gramEnd"/>
    </w:p>
    <w:p w14:paraId="1AFBEDE8"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putting in place any other reasonable arrangements to enable the information to be lawfully disclosed to the Relevant </w:t>
      </w:r>
      <w:r>
        <w:rPr>
          <w:rFonts w:ascii="Arial" w:eastAsia="Arial" w:hAnsi="Arial"/>
          <w:color w:val="000000"/>
          <w:sz w:val="24"/>
          <w:szCs w:val="24"/>
        </w:rPr>
        <w:lastRenderedPageBreak/>
        <w:t>Authority (which may include making price sensitive information available to the Relevant Authority’s nominated personnel through confidential arrangements, subject to their consent); and</w:t>
      </w:r>
    </w:p>
    <w:p w14:paraId="4DE297BA"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disclosing the information to the fullest extent</w:t>
      </w:r>
      <w:proofErr w:type="gramEnd"/>
      <w:r>
        <w:rPr>
          <w:rFonts w:ascii="Arial" w:eastAsia="Arial" w:hAnsi="Arial"/>
          <w:color w:val="000000"/>
          <w:sz w:val="24"/>
          <w:szCs w:val="24"/>
        </w:rPr>
        <w:t xml:space="preserve"> that it is lawfully entitled to do so, including through the use of redaction, anonymisation and any other techniques to permit disclosure of the information without breaching a duty of confidentiality.</w:t>
      </w:r>
    </w:p>
    <w:p w14:paraId="08E38820"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14:paraId="7750C23E"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35C91FBC" w14:textId="77777777" w:rsidR="004F0F20" w:rsidRDefault="004F0F20" w:rsidP="004F0F20">
      <w:pPr>
        <w:pStyle w:val="AnnexHeading"/>
        <w:numPr>
          <w:ilvl w:val="0"/>
          <w:numId w:val="0"/>
        </w:numPr>
        <w:jc w:val="both"/>
        <w:rPr>
          <w:rFonts w:eastAsia="Arial"/>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4F0F20" w14:paraId="161E3DBE" w14:textId="77777777" w:rsidTr="001D1413">
        <w:tc>
          <w:tcPr>
            <w:tcW w:w="2253" w:type="dxa"/>
            <w:shd w:val="clear" w:color="auto" w:fill="D9D9D9"/>
            <w:vAlign w:val="center"/>
          </w:tcPr>
          <w:p w14:paraId="755F179D" w14:textId="77777777" w:rsidR="004F0F20"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14:paraId="5C19D606" w14:textId="77777777" w:rsidR="004F0F20"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663484E9" w14:textId="77777777" w:rsidR="004F0F20"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14:paraId="07DBCB98" w14:textId="77777777" w:rsidR="004F0F20"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bookmarkStart w:id="4" w:name="_heading=h.gjdgxs" w:colFirst="0" w:colLast="0"/>
            <w:bookmarkEnd w:id="4"/>
            <w:r>
              <w:rPr>
                <w:rFonts w:ascii="Arial" w:eastAsia="Arial" w:hAnsi="Arial"/>
                <w:b/>
                <w:color w:val="000000"/>
                <w:sz w:val="24"/>
                <w:szCs w:val="24"/>
              </w:rPr>
              <w:t xml:space="preserve">Monitoring and Reporting Frequency </w:t>
            </w:r>
          </w:p>
        </w:tc>
      </w:tr>
      <w:tr w:rsidR="004F0F20" w14:paraId="09C8708D" w14:textId="77777777" w:rsidTr="001D1413">
        <w:tc>
          <w:tcPr>
            <w:tcW w:w="2253" w:type="dxa"/>
            <w:vAlign w:val="center"/>
          </w:tcPr>
          <w:p w14:paraId="21336C5B"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1</w:t>
            </w:r>
          </w:p>
          <w:p w14:paraId="4CD099BA"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Operating Margin</w:t>
            </w:r>
          </w:p>
          <w:p w14:paraId="79A65706" w14:textId="77777777" w:rsidR="004F0F20" w:rsidRPr="00A37335" w:rsidRDefault="004F0F20" w:rsidP="001D1413">
            <w:pPr>
              <w:pBdr>
                <w:top w:val="nil"/>
                <w:left w:val="nil"/>
                <w:bottom w:val="nil"/>
                <w:right w:val="nil"/>
                <w:between w:val="nil"/>
              </w:pBdr>
              <w:spacing w:before="100" w:after="200"/>
              <w:rPr>
                <w:rFonts w:ascii="Arial" w:eastAsia="Arial" w:hAnsi="Arial"/>
                <w:b/>
                <w:color w:val="000000"/>
                <w:sz w:val="24"/>
                <w:szCs w:val="24"/>
              </w:rPr>
            </w:pPr>
          </w:p>
          <w:p w14:paraId="7D6574F1"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p>
        </w:tc>
        <w:tc>
          <w:tcPr>
            <w:tcW w:w="1977" w:type="dxa"/>
            <w:vAlign w:val="center"/>
          </w:tcPr>
          <w:p w14:paraId="384433D1"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Operating Margin = Operating Profit / Revenue</w:t>
            </w:r>
          </w:p>
        </w:tc>
        <w:tc>
          <w:tcPr>
            <w:tcW w:w="1697" w:type="dxa"/>
            <w:vAlign w:val="center"/>
          </w:tcPr>
          <w:p w14:paraId="2B84B2EB"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hAnsi="Arial"/>
                <w:iCs/>
                <w:color w:val="000000"/>
              </w:rPr>
              <w:t>&gt;</w:t>
            </w:r>
            <w:r w:rsidRPr="00A37335">
              <w:rPr>
                <w:rFonts w:ascii="Arial" w:hAnsi="Arial"/>
                <w:b/>
                <w:iCs/>
                <w:color w:val="000000"/>
              </w:rPr>
              <w:t>2.00% - 4.00%</w:t>
            </w:r>
          </w:p>
        </w:tc>
        <w:tc>
          <w:tcPr>
            <w:tcW w:w="3089" w:type="dxa"/>
            <w:vAlign w:val="center"/>
          </w:tcPr>
          <w:p w14:paraId="1CD09A9E"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Tested and reported yearly in arrears within 90 days of each financial year end based upon figures for the 12 months ending on the relevant accounting reference date</w:t>
            </w:r>
          </w:p>
        </w:tc>
      </w:tr>
      <w:tr w:rsidR="004F0F20" w14:paraId="56353D28" w14:textId="77777777" w:rsidTr="001D1413">
        <w:tc>
          <w:tcPr>
            <w:tcW w:w="2253" w:type="dxa"/>
            <w:vAlign w:val="center"/>
          </w:tcPr>
          <w:p w14:paraId="699279D5"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2</w:t>
            </w:r>
          </w:p>
          <w:p w14:paraId="3358CB74"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Net Debt to EBITDA Ratio</w:t>
            </w:r>
          </w:p>
        </w:tc>
        <w:tc>
          <w:tcPr>
            <w:tcW w:w="1977" w:type="dxa"/>
            <w:vAlign w:val="center"/>
          </w:tcPr>
          <w:p w14:paraId="7081EA45"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Net Debt to EBITDA ratio = Net Debt / EBITDA</w:t>
            </w:r>
          </w:p>
        </w:tc>
        <w:tc>
          <w:tcPr>
            <w:tcW w:w="1697" w:type="dxa"/>
            <w:vAlign w:val="center"/>
          </w:tcPr>
          <w:p w14:paraId="43053DB2"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hAnsi="Arial"/>
                <w:iCs/>
                <w:color w:val="000000"/>
              </w:rPr>
              <w:t xml:space="preserve">&lt; </w:t>
            </w:r>
            <w:r w:rsidRPr="00A37335">
              <w:rPr>
                <w:rFonts w:ascii="Arial" w:hAnsi="Arial"/>
                <w:b/>
                <w:iCs/>
                <w:color w:val="000000"/>
              </w:rPr>
              <w:t>3.50 - 2.50 times</w:t>
            </w:r>
          </w:p>
        </w:tc>
        <w:tc>
          <w:tcPr>
            <w:tcW w:w="3089" w:type="dxa"/>
            <w:vAlign w:val="center"/>
          </w:tcPr>
          <w:p w14:paraId="3B1CAD68" w14:textId="785362C9"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 xml:space="preserve">Tested and reported yearly </w:t>
            </w:r>
            <w:r w:rsidRPr="00A37335">
              <w:rPr>
                <w:rFonts w:ascii="Arial" w:eastAsia="Arial" w:hAnsi="Arial"/>
                <w:iCs/>
                <w:color w:val="7030A0"/>
                <w:sz w:val="24"/>
                <w:szCs w:val="24"/>
              </w:rPr>
              <w:t xml:space="preserve"> </w:t>
            </w:r>
            <w:r w:rsidRPr="00A37335">
              <w:rPr>
                <w:rFonts w:ascii="Arial" w:eastAsia="Arial" w:hAnsi="Arial"/>
                <w:iCs/>
                <w:color w:val="000000"/>
                <w:sz w:val="24"/>
                <w:szCs w:val="24"/>
              </w:rPr>
              <w:t xml:space="preserve">in arrears within 90] days of each </w:t>
            </w:r>
            <w:r w:rsidRPr="00A37335">
              <w:rPr>
                <w:rFonts w:ascii="Arial" w:eastAsia="Arial" w:hAnsi="Arial"/>
                <w:iCs/>
                <w:color w:val="000000"/>
                <w:sz w:val="24"/>
                <w:szCs w:val="24"/>
              </w:rPr>
              <w:t>event</w:t>
            </w:r>
            <w:r w:rsidRPr="00A37335">
              <w:rPr>
                <w:rFonts w:ascii="Arial" w:eastAsia="Arial" w:hAnsi="Arial"/>
                <w:iCs/>
                <w:color w:val="000000"/>
                <w:sz w:val="24"/>
                <w:szCs w:val="24"/>
              </w:rPr>
              <w:t xml:space="preserve"> accounting reference date based upon EBITDA for the 12 months ending on, and Net Debt at, the relevant accounting reference date</w:t>
            </w:r>
          </w:p>
        </w:tc>
      </w:tr>
      <w:tr w:rsidR="004F0F20" w14:paraId="414237E2" w14:textId="77777777" w:rsidTr="001D1413">
        <w:tc>
          <w:tcPr>
            <w:tcW w:w="2253" w:type="dxa"/>
            <w:vAlign w:val="center"/>
          </w:tcPr>
          <w:p w14:paraId="53780138"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3</w:t>
            </w:r>
          </w:p>
          <w:p w14:paraId="3DD3AB71"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Net Debt + Net Pension Deficit to EBITDA ratio</w:t>
            </w:r>
          </w:p>
        </w:tc>
        <w:tc>
          <w:tcPr>
            <w:tcW w:w="1977" w:type="dxa"/>
            <w:vAlign w:val="center"/>
          </w:tcPr>
          <w:p w14:paraId="7C64EFAE"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Net Debt + Net Pension Deficit to EBITDA Ratio = (Net Debt + Net Pension Deficit) / EBITDA</w:t>
            </w:r>
          </w:p>
        </w:tc>
        <w:tc>
          <w:tcPr>
            <w:tcW w:w="1697" w:type="dxa"/>
            <w:vAlign w:val="center"/>
          </w:tcPr>
          <w:p w14:paraId="474BDA0D"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hAnsi="Arial"/>
                <w:iCs/>
                <w:color w:val="000000"/>
              </w:rPr>
              <w:t>&lt;</w:t>
            </w:r>
            <w:r w:rsidRPr="00A37335">
              <w:rPr>
                <w:rFonts w:ascii="Arial" w:hAnsi="Arial"/>
                <w:b/>
                <w:iCs/>
                <w:color w:val="000000"/>
              </w:rPr>
              <w:t>3.50 - 2.50 times</w:t>
            </w:r>
          </w:p>
        </w:tc>
        <w:tc>
          <w:tcPr>
            <w:tcW w:w="3089" w:type="dxa"/>
            <w:vAlign w:val="center"/>
          </w:tcPr>
          <w:p w14:paraId="43F8F7AB"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 xml:space="preserve">Tested and reported yearly in arrears within </w:t>
            </w:r>
            <w:r w:rsidRPr="00A37335">
              <w:rPr>
                <w:rFonts w:ascii="Arial" w:eastAsia="Arial" w:hAnsi="Arial"/>
                <w:iCs/>
                <w:sz w:val="24"/>
                <w:szCs w:val="24"/>
              </w:rPr>
              <w:t>90</w:t>
            </w:r>
            <w:r w:rsidRPr="00A37335">
              <w:rPr>
                <w:rFonts w:ascii="Arial" w:eastAsia="Arial" w:hAnsi="Arial"/>
                <w:iCs/>
                <w:color w:val="F79646"/>
                <w:sz w:val="24"/>
                <w:szCs w:val="24"/>
              </w:rPr>
              <w:t xml:space="preserve"> </w:t>
            </w:r>
            <w:r w:rsidRPr="00A37335">
              <w:rPr>
                <w:rFonts w:ascii="Arial" w:eastAsia="Arial" w:hAnsi="Arial"/>
                <w:iCs/>
                <w:color w:val="000000"/>
                <w:sz w:val="24"/>
                <w:szCs w:val="24"/>
              </w:rPr>
              <w:t xml:space="preserve">days of each accounting reference date based upon EBITDA for the 12 months ending on, and the Net Debt and Net Pension Deficit at, the </w:t>
            </w:r>
            <w:r w:rsidRPr="00A37335">
              <w:rPr>
                <w:rFonts w:ascii="Arial" w:eastAsia="Arial" w:hAnsi="Arial"/>
                <w:iCs/>
                <w:color w:val="000000"/>
                <w:sz w:val="24"/>
                <w:szCs w:val="24"/>
              </w:rPr>
              <w:lastRenderedPageBreak/>
              <w:t>relevant accounting reference date</w:t>
            </w:r>
          </w:p>
        </w:tc>
      </w:tr>
      <w:tr w:rsidR="004F0F20" w14:paraId="22495A4C" w14:textId="77777777" w:rsidTr="001D1413">
        <w:tc>
          <w:tcPr>
            <w:tcW w:w="2253" w:type="dxa"/>
            <w:vAlign w:val="center"/>
          </w:tcPr>
          <w:p w14:paraId="2466ADFF"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lastRenderedPageBreak/>
              <w:t>4</w:t>
            </w:r>
          </w:p>
          <w:p w14:paraId="122DE1C3"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Net Interest Paid Cover</w:t>
            </w:r>
          </w:p>
        </w:tc>
        <w:tc>
          <w:tcPr>
            <w:tcW w:w="1977" w:type="dxa"/>
            <w:vAlign w:val="center"/>
          </w:tcPr>
          <w:p w14:paraId="053AAC51"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Net Interest Paid Cover = Earnings Before Interest and Tax / Net Interest Paid</w:t>
            </w:r>
          </w:p>
        </w:tc>
        <w:tc>
          <w:tcPr>
            <w:tcW w:w="1697" w:type="dxa"/>
            <w:vAlign w:val="center"/>
          </w:tcPr>
          <w:p w14:paraId="36F154ED"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hAnsi="Arial"/>
                <w:iCs/>
                <w:color w:val="000000"/>
              </w:rPr>
              <w:t>&gt;</w:t>
            </w:r>
            <w:r w:rsidRPr="00A37335">
              <w:rPr>
                <w:rFonts w:ascii="Arial" w:hAnsi="Arial"/>
                <w:b/>
                <w:iCs/>
                <w:color w:val="000000"/>
              </w:rPr>
              <w:t>3.00 - 4.50</w:t>
            </w:r>
            <w:r w:rsidRPr="00A37335">
              <w:rPr>
                <w:rFonts w:ascii="Arial" w:hAnsi="Arial"/>
                <w:iCs/>
                <w:color w:val="0000FF"/>
                <w:shd w:val="clear" w:color="auto" w:fill="FFFFFF"/>
              </w:rPr>
              <w:t> </w:t>
            </w:r>
            <w:r w:rsidRPr="00A37335">
              <w:rPr>
                <w:rFonts w:ascii="Arial" w:hAnsi="Arial"/>
                <w:b/>
                <w:iCs/>
                <w:shd w:val="clear" w:color="auto" w:fill="FFFFFF"/>
              </w:rPr>
              <w:t>times</w:t>
            </w:r>
          </w:p>
        </w:tc>
        <w:tc>
          <w:tcPr>
            <w:tcW w:w="3089" w:type="dxa"/>
            <w:vAlign w:val="center"/>
          </w:tcPr>
          <w:p w14:paraId="6353D619"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Tested and reported yearly</w:t>
            </w:r>
            <w:r w:rsidRPr="00A37335">
              <w:rPr>
                <w:rFonts w:ascii="Arial" w:eastAsia="Arial" w:hAnsi="Arial"/>
                <w:iCs/>
                <w:color w:val="8064A2"/>
                <w:sz w:val="24"/>
                <w:szCs w:val="24"/>
              </w:rPr>
              <w:t xml:space="preserve"> </w:t>
            </w:r>
            <w:r w:rsidRPr="00A37335">
              <w:rPr>
                <w:rFonts w:ascii="Arial" w:eastAsia="Arial" w:hAnsi="Arial"/>
                <w:iCs/>
                <w:color w:val="000000"/>
                <w:sz w:val="24"/>
                <w:szCs w:val="24"/>
              </w:rPr>
              <w:t>in arrears within 90 days of each accounting reference date based upon figures for the 12 months ending on the relevant accounting reference date</w:t>
            </w:r>
          </w:p>
        </w:tc>
      </w:tr>
      <w:tr w:rsidR="004F0F20" w14:paraId="7D76ACA5" w14:textId="77777777" w:rsidTr="001D1413">
        <w:tc>
          <w:tcPr>
            <w:tcW w:w="2253" w:type="dxa"/>
            <w:vAlign w:val="center"/>
          </w:tcPr>
          <w:p w14:paraId="7319C795"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5</w:t>
            </w:r>
          </w:p>
          <w:p w14:paraId="3F0AA540"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Acid Ratio</w:t>
            </w:r>
          </w:p>
        </w:tc>
        <w:tc>
          <w:tcPr>
            <w:tcW w:w="1977" w:type="dxa"/>
            <w:vAlign w:val="center"/>
          </w:tcPr>
          <w:p w14:paraId="1672677D"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Acid Ratio = (Current Assets – Inventories) / Current Liabilities</w:t>
            </w:r>
          </w:p>
        </w:tc>
        <w:tc>
          <w:tcPr>
            <w:tcW w:w="1697" w:type="dxa"/>
            <w:vAlign w:val="center"/>
          </w:tcPr>
          <w:p w14:paraId="3DF8D4B7"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hAnsi="Arial"/>
                <w:b/>
                <w:iCs/>
                <w:shd w:val="clear" w:color="auto" w:fill="FFFFFF"/>
              </w:rPr>
              <w:t>&gt; 0.80 – 1.00</w:t>
            </w:r>
            <w:r w:rsidRPr="00A37335">
              <w:rPr>
                <w:rFonts w:ascii="Arial" w:hAnsi="Arial"/>
                <w:iCs/>
                <w:color w:val="0000FF"/>
                <w:shd w:val="clear" w:color="auto" w:fill="FFFFFF"/>
              </w:rPr>
              <w:t> </w:t>
            </w:r>
            <w:r w:rsidRPr="00A37335">
              <w:rPr>
                <w:rFonts w:ascii="Arial" w:hAnsi="Arial"/>
                <w:b/>
                <w:iCs/>
                <w:shd w:val="clear" w:color="auto" w:fill="FFFFFF"/>
              </w:rPr>
              <w:t>times</w:t>
            </w:r>
          </w:p>
        </w:tc>
        <w:tc>
          <w:tcPr>
            <w:tcW w:w="3089" w:type="dxa"/>
            <w:vAlign w:val="center"/>
          </w:tcPr>
          <w:p w14:paraId="0E055410"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Tested and reported yearly in arrears within 90 days of each accounting reference date based upon figures at the relevant accounting reference date</w:t>
            </w:r>
          </w:p>
        </w:tc>
      </w:tr>
      <w:tr w:rsidR="004F0F20" w14:paraId="11E53B82" w14:textId="77777777" w:rsidTr="001D1413">
        <w:tc>
          <w:tcPr>
            <w:tcW w:w="2253" w:type="dxa"/>
            <w:vAlign w:val="center"/>
          </w:tcPr>
          <w:p w14:paraId="4CCA370B"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6</w:t>
            </w:r>
          </w:p>
          <w:p w14:paraId="04AE79A4"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Net Asset value</w:t>
            </w:r>
          </w:p>
        </w:tc>
        <w:tc>
          <w:tcPr>
            <w:tcW w:w="1977" w:type="dxa"/>
            <w:vAlign w:val="center"/>
          </w:tcPr>
          <w:p w14:paraId="347D377C"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Net Asset Value = Net Assets</w:t>
            </w:r>
          </w:p>
        </w:tc>
        <w:tc>
          <w:tcPr>
            <w:tcW w:w="1697" w:type="dxa"/>
            <w:vAlign w:val="center"/>
          </w:tcPr>
          <w:p w14:paraId="42C65EA6"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&gt; £0</w:t>
            </w:r>
          </w:p>
        </w:tc>
        <w:tc>
          <w:tcPr>
            <w:tcW w:w="3089" w:type="dxa"/>
            <w:vAlign w:val="center"/>
          </w:tcPr>
          <w:p w14:paraId="4F29CE89"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 xml:space="preserve">Tested and reported yearly in arrears within 90 days of each accounting reference date based upon figures at the relevant accounting reference date </w:t>
            </w:r>
          </w:p>
        </w:tc>
      </w:tr>
      <w:tr w:rsidR="004F0F20" w14:paraId="5CA73E83" w14:textId="77777777" w:rsidTr="001D1413">
        <w:tc>
          <w:tcPr>
            <w:tcW w:w="2253" w:type="dxa"/>
            <w:vAlign w:val="center"/>
          </w:tcPr>
          <w:p w14:paraId="2228A69F"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7</w:t>
            </w:r>
          </w:p>
          <w:p w14:paraId="0C8CE4AD" w14:textId="77777777" w:rsidR="004F0F20" w:rsidRPr="00A37335" w:rsidRDefault="004F0F20" w:rsidP="001D1413">
            <w:pPr>
              <w:pBdr>
                <w:top w:val="nil"/>
                <w:left w:val="nil"/>
                <w:bottom w:val="nil"/>
                <w:right w:val="nil"/>
                <w:between w:val="nil"/>
              </w:pBdr>
              <w:spacing w:before="100" w:after="200"/>
              <w:jc w:val="center"/>
              <w:rPr>
                <w:rFonts w:ascii="Arial" w:eastAsia="Arial" w:hAnsi="Arial"/>
                <w:b/>
                <w:color w:val="000000"/>
                <w:sz w:val="24"/>
                <w:szCs w:val="24"/>
              </w:rPr>
            </w:pPr>
            <w:r w:rsidRPr="00A37335">
              <w:rPr>
                <w:rFonts w:ascii="Arial" w:eastAsia="Arial" w:hAnsi="Arial"/>
                <w:b/>
                <w:color w:val="000000"/>
                <w:sz w:val="24"/>
                <w:szCs w:val="24"/>
              </w:rPr>
              <w:t>Group Exposure Ratio</w:t>
            </w:r>
          </w:p>
        </w:tc>
        <w:tc>
          <w:tcPr>
            <w:tcW w:w="1977" w:type="dxa"/>
            <w:vAlign w:val="center"/>
          </w:tcPr>
          <w:p w14:paraId="142D7C32"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Group Exposure / Gross Assets</w:t>
            </w:r>
          </w:p>
        </w:tc>
        <w:tc>
          <w:tcPr>
            <w:tcW w:w="1697" w:type="dxa"/>
            <w:vAlign w:val="center"/>
          </w:tcPr>
          <w:p w14:paraId="3002383F"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hAnsi="Arial"/>
                <w:b/>
                <w:iCs/>
                <w:color w:val="000000"/>
              </w:rPr>
              <w:t>&lt; 50.00% - 25.00%</w:t>
            </w:r>
          </w:p>
        </w:tc>
        <w:tc>
          <w:tcPr>
            <w:tcW w:w="3089" w:type="dxa"/>
            <w:vAlign w:val="center"/>
          </w:tcPr>
          <w:p w14:paraId="6034978F" w14:textId="77777777" w:rsidR="004F0F20" w:rsidRPr="00A37335" w:rsidRDefault="004F0F20" w:rsidP="001D1413">
            <w:pPr>
              <w:pBdr>
                <w:top w:val="nil"/>
                <w:left w:val="nil"/>
                <w:bottom w:val="nil"/>
                <w:right w:val="nil"/>
                <w:between w:val="nil"/>
              </w:pBdr>
              <w:spacing w:before="100" w:after="200"/>
              <w:jc w:val="center"/>
              <w:rPr>
                <w:rFonts w:ascii="Arial" w:eastAsia="Arial" w:hAnsi="Arial"/>
                <w:iCs/>
                <w:color w:val="000000"/>
                <w:sz w:val="24"/>
                <w:szCs w:val="24"/>
              </w:rPr>
            </w:pPr>
            <w:r w:rsidRPr="00A37335">
              <w:rPr>
                <w:rFonts w:ascii="Arial" w:eastAsia="Arial" w:hAnsi="Arial"/>
                <w:iCs/>
                <w:color w:val="000000"/>
                <w:sz w:val="24"/>
                <w:szCs w:val="24"/>
              </w:rPr>
              <w:t>Tested and reported yearly in arrears within 90 days of each accounting reference date based upon figures at the relevant accounting reference date</w:t>
            </w:r>
          </w:p>
        </w:tc>
      </w:tr>
    </w:tbl>
    <w:p w14:paraId="7E3A2B09" w14:textId="6FA58B11" w:rsidR="00A30DA4" w:rsidRPr="004F0F20" w:rsidRDefault="003F138A" w:rsidP="004F0F20">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13A53B63" w14:textId="77777777" w:rsidR="00A30DA4" w:rsidRDefault="00A30DA4">
      <w:pPr>
        <w:pBdr>
          <w:top w:val="nil"/>
          <w:left w:val="nil"/>
          <w:bottom w:val="nil"/>
          <w:right w:val="nil"/>
          <w:between w:val="nil"/>
        </w:pBdr>
        <w:tabs>
          <w:tab w:val="left" w:pos="1134"/>
        </w:tabs>
        <w:spacing w:before="120" w:after="120"/>
        <w:ind w:left="360" w:hanging="1004"/>
        <w:jc w:val="left"/>
        <w:rPr>
          <w:rFonts w:eastAsia="Calibri" w:cs="Calibri"/>
          <w:color w:val="000000"/>
        </w:rPr>
      </w:pPr>
    </w:p>
    <w:p w14:paraId="44E3FB10"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79237431"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602D84C5"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w:t>
      </w:r>
      <w:proofErr w:type="gramStart"/>
      <w:r>
        <w:rPr>
          <w:rFonts w:ascii="Arial" w:eastAsia="Arial" w:hAnsi="Arial"/>
          <w:color w:val="000000"/>
          <w:sz w:val="24"/>
          <w:szCs w:val="24"/>
        </w:rPr>
        <w:t>2.3.3;</w:t>
      </w:r>
      <w:proofErr w:type="gramEnd"/>
    </w:p>
    <w:p w14:paraId="4D4B54E7"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5E050BDD"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fails to comply with the terms of the Financial Distress Remediation Plan (or any updated Financial Distress Remediation Plan) in accordance with Paragraph 4.6.3,</w:t>
      </w:r>
    </w:p>
    <w:p w14:paraId="02A51759" w14:textId="77777777" w:rsidR="00A30DA4" w:rsidRDefault="003F138A">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127D60B1"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6EF311FC"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7E05DD6A"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20C28DD"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67887BC7"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7A0164CB"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2284C858"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5B06908A" w14:textId="77777777" w:rsidR="00A30DA4" w:rsidRDefault="003F138A">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25E3DD4B"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31AD53F3"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617A529D" w14:textId="77777777" w:rsidR="00A30DA4" w:rsidRDefault="003F138A">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2CC039DD" w14:textId="77777777" w:rsidR="00A30DA4" w:rsidRDefault="003F138A">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14:paraId="65788B2E" w14:textId="77777777" w:rsidR="00A30DA4" w:rsidRDefault="003F138A">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14:paraId="5C8050E1" w14:textId="77777777" w:rsidR="00A30DA4" w:rsidRDefault="00A30DA4">
      <w:pPr>
        <w:pBdr>
          <w:top w:val="nil"/>
          <w:left w:val="nil"/>
          <w:bottom w:val="nil"/>
          <w:right w:val="nil"/>
          <w:between w:val="nil"/>
        </w:pBdr>
        <w:tabs>
          <w:tab w:val="left" w:pos="142"/>
        </w:tabs>
        <w:spacing w:before="120"/>
        <w:ind w:left="360" w:hanging="360"/>
        <w:rPr>
          <w:rFonts w:eastAsia="Calibri" w:cs="Calibri"/>
          <w:b/>
          <w:smallCaps/>
          <w:color w:val="000000"/>
        </w:rPr>
      </w:pPr>
    </w:p>
    <w:p w14:paraId="41ABBA87" w14:textId="77777777" w:rsidR="00A30DA4" w:rsidRDefault="003F138A">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741FB15E"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Dunn and Bradstreet</w:t>
      </w:r>
    </w:p>
    <w:p w14:paraId="7EE46BAA" w14:textId="77777777" w:rsidR="00A30DA4" w:rsidRDefault="003F138A">
      <w:pPr>
        <w:spacing w:after="200" w:line="276" w:lineRule="auto"/>
        <w:jc w:val="left"/>
        <w:rPr>
          <w:rFonts w:ascii="Arial" w:eastAsia="Arial" w:hAnsi="Arial"/>
          <w:sz w:val="24"/>
          <w:szCs w:val="24"/>
        </w:rPr>
      </w:pPr>
      <w:r>
        <w:br w:type="page"/>
      </w:r>
    </w:p>
    <w:p w14:paraId="1C03572A" w14:textId="77777777" w:rsidR="00A30DA4" w:rsidRDefault="003F138A">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5" w:name="_heading=h.3whwml4" w:colFirst="0" w:colLast="0"/>
      <w:bookmarkEnd w:id="5"/>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A30DA4" w14:paraId="799F0D6D" w14:textId="77777777">
        <w:tc>
          <w:tcPr>
            <w:tcW w:w="3080" w:type="dxa"/>
            <w:tcBorders>
              <w:top w:val="single" w:sz="4" w:space="0" w:color="000000"/>
            </w:tcBorders>
            <w:shd w:val="clear" w:color="auto" w:fill="FFFFFF"/>
          </w:tcPr>
          <w:p w14:paraId="4733AA38" w14:textId="77777777" w:rsidR="00A30DA4" w:rsidRDefault="003F138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415F685" w14:textId="77777777" w:rsidR="00A30DA4" w:rsidRDefault="003F138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A30DA4" w14:paraId="1EB0D779" w14:textId="77777777">
        <w:tc>
          <w:tcPr>
            <w:tcW w:w="3080" w:type="dxa"/>
            <w:shd w:val="clear" w:color="auto" w:fill="FFFFFF"/>
          </w:tcPr>
          <w:p w14:paraId="65D308E1"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6C088A5C" w14:textId="1FF1EADC" w:rsidR="00A30DA4" w:rsidRDefault="009073E1">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70</w:t>
            </w:r>
          </w:p>
        </w:tc>
      </w:tr>
      <w:tr w:rsidR="00A30DA4" w14:paraId="41F362F7" w14:textId="77777777">
        <w:tc>
          <w:tcPr>
            <w:tcW w:w="3080" w:type="dxa"/>
            <w:shd w:val="clear" w:color="auto" w:fill="FFFFFF"/>
          </w:tcPr>
          <w:p w14:paraId="0146EDBD"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14:paraId="191B28A8" w14:textId="77777777" w:rsidR="00A30DA4" w:rsidRDefault="00A30DA4">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A30DA4" w14:paraId="2FE1B56B" w14:textId="77777777">
        <w:tc>
          <w:tcPr>
            <w:tcW w:w="3080" w:type="dxa"/>
            <w:tcBorders>
              <w:bottom w:val="single" w:sz="4" w:space="0" w:color="000000"/>
            </w:tcBorders>
            <w:shd w:val="clear" w:color="auto" w:fill="FFFFFF"/>
          </w:tcPr>
          <w:p w14:paraId="312869F9"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76763525" w14:textId="77777777" w:rsidR="00A30DA4" w:rsidRDefault="00A30DA4">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00F98FC9"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010DB132" w14:textId="77777777" w:rsidR="00A30DA4" w:rsidRDefault="003F138A">
      <w:pPr>
        <w:spacing w:after="200" w:line="276" w:lineRule="auto"/>
        <w:jc w:val="left"/>
        <w:rPr>
          <w:rFonts w:ascii="Arial" w:eastAsia="Arial" w:hAnsi="Arial"/>
          <w:sz w:val="24"/>
          <w:szCs w:val="24"/>
        </w:rPr>
      </w:pPr>
      <w:r>
        <w:br w:type="page"/>
      </w:r>
    </w:p>
    <w:p w14:paraId="6CAA53B7" w14:textId="0B087677" w:rsidR="00A30DA4" w:rsidRPr="00E44D65" w:rsidRDefault="003F138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bookmarkStart w:id="6" w:name="_heading=h.2bn6wsx" w:colFirst="0" w:colLast="0"/>
      <w:bookmarkEnd w:id="6"/>
    </w:p>
    <w:p w14:paraId="5D5A8D49" w14:textId="77777777" w:rsidR="00A30DA4" w:rsidRDefault="003F138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75EB095A" w14:textId="77777777" w:rsidR="00A30DA4" w:rsidRDefault="003F138A">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54D2A7BF" w14:textId="77777777" w:rsidR="00A30DA4" w:rsidRDefault="003F138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07A3383" w14:textId="77777777" w:rsidR="00A30DA4" w:rsidRDefault="003F138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7" w:name="_heading=h.qsh70q" w:colFirst="0" w:colLast="0"/>
      <w:bookmarkEnd w:id="7"/>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5B16FC5C" w14:textId="77777777" w:rsidR="00A30DA4" w:rsidRDefault="003F138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1BDC321C" w14:textId="77777777" w:rsidR="00A30DA4" w:rsidRDefault="003F138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697B2A18" w14:textId="77777777" w:rsidR="00A30DA4" w:rsidRDefault="003F138A">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p w14:paraId="5AE14F1F" w14:textId="77777777" w:rsidR="00A224F8" w:rsidRDefault="00A224F8">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A224F8" w14:paraId="724930A6" w14:textId="77777777" w:rsidTr="001D1413">
        <w:tc>
          <w:tcPr>
            <w:tcW w:w="2538" w:type="dxa"/>
            <w:shd w:val="clear" w:color="auto" w:fill="D9D9D9"/>
          </w:tcPr>
          <w:p w14:paraId="6C19DC9B" w14:textId="77777777" w:rsidR="00A224F8"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37311D98" w14:textId="77777777" w:rsidR="00A224F8"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A224F8" w14:paraId="749F603E" w14:textId="77777777" w:rsidTr="001D1413">
        <w:trPr>
          <w:trHeight w:val="4875"/>
        </w:trPr>
        <w:tc>
          <w:tcPr>
            <w:tcW w:w="2538" w:type="dxa"/>
            <w:vAlign w:val="center"/>
          </w:tcPr>
          <w:p w14:paraId="7CDC47BD"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1</w:t>
            </w:r>
          </w:p>
          <w:p w14:paraId="29B90C2E"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Operating Margin</w:t>
            </w:r>
          </w:p>
        </w:tc>
        <w:tc>
          <w:tcPr>
            <w:tcW w:w="6478" w:type="dxa"/>
          </w:tcPr>
          <w:p w14:paraId="3B15178E"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The elements used to calculate the Operating Margin should be shown on the face of the Income Statement in a standard set of financial statements.</w:t>
            </w:r>
          </w:p>
          <w:p w14:paraId="33356A12"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Figures for Operating Profit and Revenue should exclude the entity’s share of the results of any joint ventures or Associates.</w:t>
            </w:r>
          </w:p>
          <w:p w14:paraId="2332F2F5"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Where an entity has an operating loss (i.e. where the operating profit is negative), Operating Profit should be taken to be zero.</w:t>
            </w:r>
          </w:p>
        </w:tc>
      </w:tr>
      <w:tr w:rsidR="00A224F8" w14:paraId="65B1F1E5" w14:textId="77777777" w:rsidTr="001D1413">
        <w:tc>
          <w:tcPr>
            <w:tcW w:w="2538" w:type="dxa"/>
          </w:tcPr>
          <w:p w14:paraId="213C100E"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b/>
                <w:color w:val="000000"/>
                <w:sz w:val="24"/>
                <w:szCs w:val="24"/>
              </w:rPr>
              <w:lastRenderedPageBreak/>
              <w:t>2</w:t>
            </w:r>
          </w:p>
          <w:p w14:paraId="1840A15C"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Net Debt to EBITDA Ratio</w:t>
            </w:r>
          </w:p>
        </w:tc>
        <w:tc>
          <w:tcPr>
            <w:tcW w:w="6478" w:type="dxa"/>
          </w:tcPr>
          <w:p w14:paraId="027B09B6"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Net Debt</w:t>
            </w:r>
            <w:r w:rsidRPr="00580DC1">
              <w:rPr>
                <w:rFonts w:ascii="Arial" w:eastAsia="Arial" w:hAnsi="Arial"/>
                <w:i/>
                <w:color w:val="000000"/>
                <w:sz w:val="24"/>
                <w:szCs w:val="24"/>
              </w:rPr>
              <w:t>” = Bank overdrafts + Loans and borrowings + Finance leases + Deferred consideration payable – Cash and cash equivalents</w:t>
            </w:r>
          </w:p>
          <w:p w14:paraId="453042F0"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EBITDA</w:t>
            </w:r>
            <w:r w:rsidRPr="00580DC1">
              <w:rPr>
                <w:rFonts w:ascii="Arial" w:eastAsia="Arial" w:hAnsi="Arial"/>
                <w:i/>
                <w:color w:val="000000"/>
                <w:sz w:val="24"/>
                <w:szCs w:val="24"/>
              </w:rPr>
              <w:t>” = Operating profit + Depreciation charge + Amortisation charge</w:t>
            </w:r>
          </w:p>
          <w:p w14:paraId="6784D764"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proofErr w:type="gramStart"/>
            <w:r w:rsidRPr="00580DC1">
              <w:rPr>
                <w:rFonts w:ascii="Arial" w:eastAsia="Arial" w:hAnsi="Arial"/>
                <w:color w:val="000000"/>
                <w:sz w:val="24"/>
                <w:szCs w:val="24"/>
              </w:rPr>
              <w:t>The majority of</w:t>
            </w:r>
            <w:proofErr w:type="gramEnd"/>
            <w:r w:rsidRPr="00580DC1">
              <w:rPr>
                <w:rFonts w:ascii="Arial" w:eastAsia="Arial" w:hAnsi="Arial"/>
                <w:color w:val="000000"/>
                <w:sz w:val="24"/>
                <w:szCs w:val="24"/>
              </w:rPr>
              <w:t xml:space="preserve">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6E47FEE0"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i/>
                <w:color w:val="000000"/>
                <w:sz w:val="24"/>
                <w:szCs w:val="24"/>
                <w:u w:val="single"/>
              </w:rPr>
              <w:t>Net Debt</w:t>
            </w:r>
            <w:r w:rsidRPr="00580DC1">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B09D8A0"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Deferred consideration payable should be included in Net Debt despite typically being non-interest bearing.</w:t>
            </w:r>
          </w:p>
          <w:p w14:paraId="23C858B4"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Cash and cash equivalents should include short-term financial investments shown in current assets.</w:t>
            </w:r>
          </w:p>
          <w:p w14:paraId="57FFBE6A"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 xml:space="preserve">Where Net debt is negative (i.e. an entity has net cash), the relevant Financial Target Threshold should be treated as having been met. </w:t>
            </w:r>
          </w:p>
          <w:p w14:paraId="0938DE39"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bookmarkStart w:id="8" w:name="_heading=h.tyjcwt" w:colFirst="0" w:colLast="0"/>
            <w:bookmarkEnd w:id="8"/>
            <w:r w:rsidRPr="00580DC1">
              <w:rPr>
                <w:rFonts w:ascii="Arial" w:eastAsia="Arial" w:hAnsi="Arial"/>
                <w:i/>
                <w:color w:val="000000"/>
                <w:sz w:val="24"/>
                <w:szCs w:val="24"/>
                <w:u w:val="single"/>
              </w:rPr>
              <w:t>EBITDA</w:t>
            </w:r>
            <w:r w:rsidRPr="00580DC1">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sidRPr="00580DC1">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A224F8" w14:paraId="5296D2C4" w14:textId="77777777" w:rsidTr="001D1413">
        <w:tc>
          <w:tcPr>
            <w:tcW w:w="2538" w:type="dxa"/>
          </w:tcPr>
          <w:p w14:paraId="7699B914"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lastRenderedPageBreak/>
              <w:t>3</w:t>
            </w:r>
          </w:p>
          <w:p w14:paraId="025E1AC6"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Net Debt + Net  Pension Deficit to EBITDA ratio</w:t>
            </w:r>
          </w:p>
        </w:tc>
        <w:tc>
          <w:tcPr>
            <w:tcW w:w="6478" w:type="dxa"/>
          </w:tcPr>
          <w:p w14:paraId="6F35BD9F"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Net Debt</w:t>
            </w:r>
            <w:r w:rsidRPr="00580DC1">
              <w:rPr>
                <w:rFonts w:ascii="Arial" w:eastAsia="Arial" w:hAnsi="Arial"/>
                <w:i/>
                <w:color w:val="000000"/>
                <w:sz w:val="24"/>
                <w:szCs w:val="24"/>
              </w:rPr>
              <w:t>” = Bank overdrafts + Loans and borrowings + Finance leases + Deferred consideration payable – Cash and cash equivalents</w:t>
            </w:r>
          </w:p>
          <w:p w14:paraId="7BB87698"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Net Pension Deficit</w:t>
            </w:r>
            <w:r w:rsidRPr="00580DC1">
              <w:rPr>
                <w:rFonts w:ascii="Arial" w:eastAsia="Arial" w:hAnsi="Arial"/>
                <w:i/>
                <w:color w:val="000000"/>
                <w:sz w:val="24"/>
                <w:szCs w:val="24"/>
              </w:rPr>
              <w:t>” = Retirement Benefit Obligations – Retirement Benefit Assets</w:t>
            </w:r>
          </w:p>
          <w:p w14:paraId="6EAAA378"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EBITDA</w:t>
            </w:r>
            <w:r w:rsidRPr="00580DC1">
              <w:rPr>
                <w:rFonts w:ascii="Arial" w:eastAsia="Arial" w:hAnsi="Arial"/>
                <w:i/>
                <w:color w:val="000000"/>
                <w:sz w:val="24"/>
                <w:szCs w:val="24"/>
              </w:rPr>
              <w:t>” = Operating profit + Depreciation charge + Amortisation charge</w:t>
            </w:r>
          </w:p>
          <w:p w14:paraId="234E3558"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proofErr w:type="gramStart"/>
            <w:r w:rsidRPr="00580DC1">
              <w:rPr>
                <w:rFonts w:ascii="Arial" w:eastAsia="Arial" w:hAnsi="Arial"/>
                <w:color w:val="000000"/>
                <w:sz w:val="24"/>
                <w:szCs w:val="24"/>
              </w:rPr>
              <w:t>The majority of</w:t>
            </w:r>
            <w:proofErr w:type="gramEnd"/>
            <w:r w:rsidRPr="00580DC1">
              <w:rPr>
                <w:rFonts w:ascii="Arial" w:eastAsia="Arial" w:hAnsi="Arial"/>
                <w:color w:val="000000"/>
                <w:sz w:val="24"/>
                <w:szCs w:val="24"/>
              </w:rPr>
              <w:t xml:space="preserve">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0A614976"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i/>
                <w:color w:val="000000"/>
                <w:sz w:val="24"/>
                <w:szCs w:val="24"/>
                <w:u w:val="single"/>
              </w:rPr>
              <w:t>Net Debt</w:t>
            </w:r>
            <w:r w:rsidRPr="00580DC1">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580DC1">
              <w:rPr>
                <w:rFonts w:ascii="Arial" w:eastAsia="Arial" w:hAnsi="Arial"/>
                <w:i/>
                <w:color w:val="000000"/>
                <w:sz w:val="24"/>
                <w:szCs w:val="24"/>
              </w:rPr>
              <w:t>not</w:t>
            </w:r>
            <w:r w:rsidRPr="00580DC1">
              <w:rPr>
                <w:rFonts w:ascii="Arial" w:eastAsia="Arial" w:hAnsi="Arial"/>
                <w:color w:val="000000"/>
                <w:sz w:val="24"/>
                <w:szCs w:val="24"/>
              </w:rPr>
              <w:t xml:space="preserve"> non-designated hedges). Borrowings should also include balances owed to other group members.</w:t>
            </w:r>
          </w:p>
          <w:p w14:paraId="514BFB33"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Deferred consideration payable should be included in Net Debt despite typically being non-interest bearing.</w:t>
            </w:r>
          </w:p>
          <w:p w14:paraId="6AF0AA5E"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Cash and cash equivalents should include short-term financial investments shown in current assets.</w:t>
            </w:r>
          </w:p>
          <w:p w14:paraId="2DC4C5FF"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i/>
                <w:color w:val="000000"/>
                <w:sz w:val="24"/>
                <w:szCs w:val="24"/>
                <w:u w:val="single"/>
              </w:rPr>
              <w:t>Net Pension Deficit</w:t>
            </w:r>
            <w:r w:rsidRPr="00580DC1">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70EC8633"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Where ‘Net Debt + Net Pension Deficit’ is negative, the relevant Financial Target Threshold should be treated as having been met.</w:t>
            </w:r>
          </w:p>
          <w:p w14:paraId="3CE54611"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i/>
                <w:color w:val="000000"/>
                <w:sz w:val="24"/>
                <w:szCs w:val="24"/>
                <w:u w:val="single"/>
              </w:rPr>
              <w:t>EBITDA</w:t>
            </w:r>
            <w:r w:rsidRPr="00580DC1">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42BDD79D"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bookmarkStart w:id="9" w:name="_heading=h.3dy6vkm" w:colFirst="0" w:colLast="0"/>
            <w:bookmarkEnd w:id="9"/>
            <w:r w:rsidRPr="00580DC1">
              <w:rPr>
                <w:rFonts w:ascii="Arial" w:eastAsia="Arial" w:hAnsi="Arial"/>
                <w:color w:val="000000"/>
                <w:sz w:val="24"/>
                <w:szCs w:val="24"/>
              </w:rPr>
              <w:lastRenderedPageBreak/>
              <w:t xml:space="preserve">The depreciation and amortisation charges for the period may be found on the face of the Statement of Cash Flows or in a Note to the Accounts. </w:t>
            </w:r>
          </w:p>
          <w:p w14:paraId="080568EC"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A224F8" w14:paraId="4D25FFAE" w14:textId="77777777" w:rsidTr="001D1413">
        <w:tc>
          <w:tcPr>
            <w:tcW w:w="2538" w:type="dxa"/>
            <w:vAlign w:val="center"/>
          </w:tcPr>
          <w:p w14:paraId="7F208968"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lastRenderedPageBreak/>
              <w:t>4</w:t>
            </w:r>
          </w:p>
          <w:p w14:paraId="1E4463AD"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Net Interest Paid Cover</w:t>
            </w:r>
          </w:p>
        </w:tc>
        <w:tc>
          <w:tcPr>
            <w:tcW w:w="6478" w:type="dxa"/>
          </w:tcPr>
          <w:p w14:paraId="40B0B84B"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Earnings Before Interest and Tax</w:t>
            </w:r>
            <w:r w:rsidRPr="00580DC1">
              <w:rPr>
                <w:rFonts w:ascii="Arial" w:eastAsia="Arial" w:hAnsi="Arial"/>
                <w:i/>
                <w:color w:val="000000"/>
                <w:sz w:val="24"/>
                <w:szCs w:val="24"/>
              </w:rPr>
              <w:t>” = Operating profit</w:t>
            </w:r>
          </w:p>
          <w:p w14:paraId="569AE3EB"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Net Interest Paid</w:t>
            </w:r>
            <w:r w:rsidRPr="00580DC1">
              <w:rPr>
                <w:rFonts w:ascii="Arial" w:eastAsia="Arial" w:hAnsi="Arial"/>
                <w:i/>
                <w:color w:val="000000"/>
                <w:sz w:val="24"/>
                <w:szCs w:val="24"/>
              </w:rPr>
              <w:t>” = Interest paid – Interest received</w:t>
            </w:r>
          </w:p>
          <w:p w14:paraId="0F26A3F0"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586BE170"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Interest received and interest paid should be shown on the face of the Cash Flow statement.</w:t>
            </w:r>
          </w:p>
          <w:p w14:paraId="3DB468D1"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A224F8" w14:paraId="39C9F162" w14:textId="77777777" w:rsidTr="001D1413">
        <w:tc>
          <w:tcPr>
            <w:tcW w:w="2538" w:type="dxa"/>
            <w:vAlign w:val="center"/>
          </w:tcPr>
          <w:p w14:paraId="45CE8350"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5</w:t>
            </w:r>
          </w:p>
          <w:p w14:paraId="1E906A62"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Acid Ratio</w:t>
            </w:r>
          </w:p>
        </w:tc>
        <w:tc>
          <w:tcPr>
            <w:tcW w:w="6478" w:type="dxa"/>
          </w:tcPr>
          <w:p w14:paraId="254DEEAC"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All elements that are used to calculate the Acid Ratio are available on the face of the Balance Sheet in a standard set of financial statements.</w:t>
            </w:r>
          </w:p>
        </w:tc>
      </w:tr>
      <w:tr w:rsidR="00A224F8" w14:paraId="156D2C8C" w14:textId="77777777" w:rsidTr="001D1413">
        <w:tc>
          <w:tcPr>
            <w:tcW w:w="2538" w:type="dxa"/>
            <w:vAlign w:val="center"/>
          </w:tcPr>
          <w:p w14:paraId="133E1F96"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6</w:t>
            </w:r>
          </w:p>
          <w:p w14:paraId="514E6EF2"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Net Asset value</w:t>
            </w:r>
          </w:p>
        </w:tc>
        <w:tc>
          <w:tcPr>
            <w:tcW w:w="6478" w:type="dxa"/>
          </w:tcPr>
          <w:p w14:paraId="49030F42"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A224F8" w14:paraId="3C389B93" w14:textId="77777777" w:rsidTr="001D1413">
        <w:tc>
          <w:tcPr>
            <w:tcW w:w="2538" w:type="dxa"/>
            <w:vAlign w:val="center"/>
          </w:tcPr>
          <w:p w14:paraId="1852BAF9"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7</w:t>
            </w:r>
          </w:p>
          <w:p w14:paraId="38DB9A34" w14:textId="77777777" w:rsidR="00A224F8" w:rsidRPr="00580DC1" w:rsidRDefault="00A224F8" w:rsidP="001D1413">
            <w:pPr>
              <w:pBdr>
                <w:top w:val="nil"/>
                <w:left w:val="nil"/>
                <w:bottom w:val="nil"/>
                <w:right w:val="nil"/>
                <w:between w:val="nil"/>
              </w:pBdr>
              <w:spacing w:before="100" w:after="200"/>
              <w:jc w:val="left"/>
              <w:rPr>
                <w:rFonts w:ascii="Arial" w:eastAsia="Arial" w:hAnsi="Arial"/>
                <w:b/>
                <w:color w:val="000000"/>
                <w:sz w:val="24"/>
                <w:szCs w:val="24"/>
              </w:rPr>
            </w:pPr>
            <w:r w:rsidRPr="00580DC1">
              <w:rPr>
                <w:rFonts w:ascii="Arial" w:eastAsia="Arial" w:hAnsi="Arial"/>
                <w:b/>
                <w:color w:val="000000"/>
                <w:sz w:val="24"/>
                <w:szCs w:val="24"/>
              </w:rPr>
              <w:t>Group Exposure Ratio</w:t>
            </w:r>
          </w:p>
        </w:tc>
        <w:tc>
          <w:tcPr>
            <w:tcW w:w="6478" w:type="dxa"/>
          </w:tcPr>
          <w:p w14:paraId="5BB79C20"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Group Exposure</w:t>
            </w:r>
            <w:r w:rsidRPr="00580DC1">
              <w:rPr>
                <w:rFonts w:ascii="Arial" w:eastAsia="Arial" w:hAnsi="Arial"/>
                <w:i/>
                <w:color w:val="000000"/>
                <w:sz w:val="24"/>
                <w:szCs w:val="24"/>
              </w:rPr>
              <w:t>” = Balances owed by Group Undertakings + Contingent liabilities assumed in support of Group Undertakings</w:t>
            </w:r>
          </w:p>
          <w:p w14:paraId="2DED4C4C" w14:textId="77777777" w:rsidR="00A224F8" w:rsidRPr="00580DC1" w:rsidRDefault="00A224F8" w:rsidP="001D1413">
            <w:pPr>
              <w:pBdr>
                <w:top w:val="nil"/>
                <w:left w:val="nil"/>
                <w:bottom w:val="nil"/>
                <w:right w:val="nil"/>
                <w:between w:val="nil"/>
              </w:pBdr>
              <w:spacing w:before="100" w:after="200"/>
              <w:jc w:val="left"/>
              <w:rPr>
                <w:rFonts w:ascii="Arial" w:eastAsia="Arial" w:hAnsi="Arial"/>
                <w:i/>
                <w:color w:val="000000"/>
                <w:sz w:val="24"/>
                <w:szCs w:val="24"/>
              </w:rPr>
            </w:pPr>
            <w:r w:rsidRPr="00580DC1">
              <w:rPr>
                <w:rFonts w:ascii="Arial" w:eastAsia="Arial" w:hAnsi="Arial"/>
                <w:i/>
                <w:color w:val="000000"/>
                <w:sz w:val="24"/>
                <w:szCs w:val="24"/>
              </w:rPr>
              <w:t>“</w:t>
            </w:r>
            <w:r w:rsidRPr="00580DC1">
              <w:rPr>
                <w:rFonts w:ascii="Arial" w:eastAsia="Arial" w:hAnsi="Arial"/>
                <w:b/>
                <w:i/>
                <w:color w:val="000000"/>
                <w:sz w:val="24"/>
                <w:szCs w:val="24"/>
              </w:rPr>
              <w:t>Gross Assets</w:t>
            </w:r>
            <w:r w:rsidRPr="00580DC1">
              <w:rPr>
                <w:rFonts w:ascii="Arial" w:eastAsia="Arial" w:hAnsi="Arial"/>
                <w:i/>
                <w:color w:val="000000"/>
                <w:sz w:val="24"/>
                <w:szCs w:val="24"/>
              </w:rPr>
              <w:t>” = Fixed Assets + Current Assets</w:t>
            </w:r>
          </w:p>
          <w:p w14:paraId="0394BCD4"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i/>
                <w:color w:val="000000"/>
                <w:sz w:val="24"/>
                <w:szCs w:val="24"/>
                <w:u w:val="single"/>
              </w:rPr>
              <w:lastRenderedPageBreak/>
              <w:t>Group Exposure</w:t>
            </w:r>
            <w:r w:rsidRPr="00580DC1">
              <w:rPr>
                <w:rFonts w:ascii="Arial" w:eastAsia="Arial" w:hAnsi="Arial"/>
                <w:color w:val="000000"/>
                <w:sz w:val="24"/>
                <w:szCs w:val="24"/>
              </w:rPr>
              <w:t>:  Balances owed by (</w:t>
            </w:r>
            <w:proofErr w:type="spellStart"/>
            <w:r w:rsidRPr="00580DC1">
              <w:rPr>
                <w:rFonts w:ascii="Arial" w:eastAsia="Arial" w:hAnsi="Arial"/>
                <w:color w:val="000000"/>
                <w:sz w:val="24"/>
                <w:szCs w:val="24"/>
              </w:rPr>
              <w:t>ie</w:t>
            </w:r>
            <w:proofErr w:type="spellEnd"/>
            <w:r w:rsidRPr="00580DC1">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w:t>
            </w:r>
            <w:proofErr w:type="gramStart"/>
            <w:r w:rsidRPr="00580DC1">
              <w:rPr>
                <w:rFonts w:ascii="Arial" w:eastAsia="Arial" w:hAnsi="Arial"/>
                <w:color w:val="000000"/>
                <w:sz w:val="24"/>
                <w:szCs w:val="24"/>
              </w:rPr>
              <w:t>in particular where</w:t>
            </w:r>
            <w:proofErr w:type="gramEnd"/>
            <w:r w:rsidRPr="00580DC1">
              <w:rPr>
                <w:rFonts w:ascii="Arial" w:eastAsia="Arial" w:hAnsi="Arial"/>
                <w:color w:val="000000"/>
                <w:sz w:val="24"/>
                <w:szCs w:val="24"/>
              </w:rPr>
              <w:t xml:space="preserve"> an entity is not a member of a group or is itself the ultimate holding company of the group.</w:t>
            </w:r>
          </w:p>
          <w:p w14:paraId="7C1CD3D9"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78F82CEE"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color w:val="000000"/>
                <w:sz w:val="24"/>
                <w:szCs w:val="24"/>
              </w:rPr>
              <w:t xml:space="preserve">In many cases an entity may not have assumed any contingent liabilities in support of Group Undertakings, </w:t>
            </w:r>
            <w:proofErr w:type="gramStart"/>
            <w:r w:rsidRPr="00580DC1">
              <w:rPr>
                <w:rFonts w:ascii="Arial" w:eastAsia="Arial" w:hAnsi="Arial"/>
                <w:color w:val="000000"/>
                <w:sz w:val="24"/>
                <w:szCs w:val="24"/>
              </w:rPr>
              <w:t>in particular where</w:t>
            </w:r>
            <w:proofErr w:type="gramEnd"/>
            <w:r w:rsidRPr="00580DC1">
              <w:rPr>
                <w:rFonts w:ascii="Arial" w:eastAsia="Arial" w:hAnsi="Arial"/>
                <w:color w:val="000000"/>
                <w:sz w:val="24"/>
                <w:szCs w:val="24"/>
              </w:rPr>
              <w:t xml:space="preserve"> an entity is not a member of a group or is itself the ultimate holding company of the group.</w:t>
            </w:r>
          </w:p>
          <w:p w14:paraId="63E0A576" w14:textId="77777777" w:rsidR="00A224F8" w:rsidRPr="00580DC1" w:rsidRDefault="00A224F8" w:rsidP="001D1413">
            <w:pPr>
              <w:pBdr>
                <w:top w:val="nil"/>
                <w:left w:val="nil"/>
                <w:bottom w:val="nil"/>
                <w:right w:val="nil"/>
                <w:between w:val="nil"/>
              </w:pBdr>
              <w:spacing w:before="100" w:after="200"/>
              <w:jc w:val="left"/>
              <w:rPr>
                <w:rFonts w:ascii="Arial" w:eastAsia="Arial" w:hAnsi="Arial"/>
                <w:color w:val="000000"/>
                <w:sz w:val="24"/>
                <w:szCs w:val="24"/>
              </w:rPr>
            </w:pPr>
            <w:r w:rsidRPr="00580DC1">
              <w:rPr>
                <w:rFonts w:ascii="Arial" w:eastAsia="Arial" w:hAnsi="Arial"/>
                <w:i/>
                <w:color w:val="000000"/>
                <w:sz w:val="24"/>
                <w:szCs w:val="24"/>
                <w:u w:val="single"/>
              </w:rPr>
              <w:t>Gross Assets</w:t>
            </w:r>
            <w:r w:rsidRPr="00580DC1">
              <w:rPr>
                <w:rFonts w:ascii="Arial" w:eastAsia="Arial" w:hAnsi="Arial"/>
                <w:color w:val="000000"/>
                <w:sz w:val="24"/>
                <w:szCs w:val="24"/>
              </w:rPr>
              <w:t>: Both Fixed assets and Current assets are shown on the face of the Balance Sheet</w:t>
            </w:r>
          </w:p>
        </w:tc>
      </w:tr>
    </w:tbl>
    <w:p w14:paraId="2C0FC62A" w14:textId="77777777" w:rsidR="00A224F8" w:rsidRDefault="00A224F8">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p>
    <w:p w14:paraId="3B594E33" w14:textId="77777777" w:rsidR="00A224F8" w:rsidRDefault="00A224F8">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p>
    <w:p w14:paraId="0C4C12EE"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5D7EE8C2" w14:textId="77777777" w:rsidR="00A30DA4" w:rsidRDefault="003F138A">
      <w:pPr>
        <w:spacing w:after="200" w:line="276" w:lineRule="auto"/>
        <w:jc w:val="left"/>
        <w:rPr>
          <w:rFonts w:ascii="Arial" w:eastAsia="Arial" w:hAnsi="Arial"/>
          <w:sz w:val="24"/>
          <w:szCs w:val="24"/>
        </w:rPr>
      </w:pPr>
      <w:r>
        <w:br w:type="page"/>
      </w:r>
    </w:p>
    <w:p w14:paraId="68B4526F" w14:textId="77777777" w:rsidR="00A30DA4" w:rsidRDefault="003F138A">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10" w:name="_heading=h.49x2ik5" w:colFirst="0" w:colLast="0"/>
      <w:bookmarkEnd w:id="10"/>
      <w:r>
        <w:rPr>
          <w:rFonts w:ascii="Arial Bold" w:eastAsia="Arial Bold" w:hAnsi="Arial Bold" w:cs="Arial Bold"/>
          <w:b/>
          <w:smallCaps/>
          <w:color w:val="000000"/>
          <w:sz w:val="24"/>
          <w:szCs w:val="24"/>
        </w:rPr>
        <w:lastRenderedPageBreak/>
        <w:t>Annex 4: Board Confirmation</w:t>
      </w:r>
    </w:p>
    <w:p w14:paraId="68CB651B"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5DF2B584" w14:textId="77777777" w:rsidR="00A30DA4" w:rsidRDefault="003F138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432A7AB2" w14:textId="77777777" w:rsidR="00A30DA4" w:rsidRDefault="003F138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4FB1CE2A"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733EF061" w14:textId="77777777" w:rsidR="00A30DA4" w:rsidRDefault="003F138A">
      <w:pPr>
        <w:pBdr>
          <w:top w:val="nil"/>
          <w:left w:val="nil"/>
          <w:bottom w:val="nil"/>
          <w:right w:val="nil"/>
          <w:between w:val="nil"/>
        </w:pBdr>
        <w:spacing w:before="100" w:after="200"/>
        <w:ind w:left="720"/>
        <w:jc w:val="left"/>
        <w:rPr>
          <w:rFonts w:ascii="Arial" w:eastAsia="Arial" w:hAnsi="Arial"/>
          <w:color w:val="000000"/>
          <w:sz w:val="24"/>
          <w:szCs w:val="24"/>
        </w:rPr>
      </w:pPr>
      <w:bookmarkStart w:id="11" w:name="_heading=h.2p2csry" w:colFirst="0" w:colLast="0"/>
      <w:bookmarkEnd w:id="11"/>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5098B23F" w14:textId="77777777" w:rsidR="00A30DA4" w:rsidRDefault="003F138A">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0CFB0237" w14:textId="77777777" w:rsidR="00A30DA4" w:rsidRDefault="003F138A">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1490BDF7" w14:textId="77777777" w:rsidR="00A30DA4" w:rsidRDefault="003F138A">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0FD4793C"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653BB7BB" w14:textId="77777777" w:rsidR="00A30DA4" w:rsidRDefault="003F138A">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3F045EF8"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25BC285C" w14:textId="77777777" w:rsidR="00A30DA4" w:rsidRDefault="003F138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3E652A36" w14:textId="77777777" w:rsidR="00A30DA4" w:rsidRDefault="003F138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4A113CD2" w14:textId="77777777" w:rsidR="00A30DA4" w:rsidRDefault="003F138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12573103"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36000912" w14:textId="77777777" w:rsidR="00A30DA4" w:rsidRDefault="003F138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3A68CE3B" w14:textId="77777777" w:rsidR="00A30DA4" w:rsidRDefault="003F138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61BC8D57" w14:textId="77777777" w:rsidR="00A30DA4" w:rsidRDefault="003F138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19872FA1" w14:textId="77777777" w:rsidR="00A30DA4" w:rsidRDefault="00A30DA4">
      <w:pPr>
        <w:pBdr>
          <w:top w:val="nil"/>
          <w:left w:val="nil"/>
          <w:bottom w:val="nil"/>
          <w:right w:val="nil"/>
          <w:between w:val="nil"/>
        </w:pBdr>
        <w:spacing w:before="100" w:after="200"/>
        <w:jc w:val="left"/>
        <w:rPr>
          <w:rFonts w:ascii="Arial" w:eastAsia="Arial" w:hAnsi="Arial"/>
          <w:color w:val="000000"/>
          <w:sz w:val="24"/>
          <w:szCs w:val="24"/>
        </w:rPr>
      </w:pPr>
    </w:p>
    <w:p w14:paraId="723AF1FA" w14:textId="77777777" w:rsidR="00A30DA4" w:rsidRDefault="003F138A">
      <w:pPr>
        <w:spacing w:after="200" w:line="276" w:lineRule="auto"/>
        <w:jc w:val="left"/>
        <w:rPr>
          <w:rFonts w:ascii="Arial" w:eastAsia="Arial" w:hAnsi="Arial"/>
          <w:sz w:val="36"/>
          <w:szCs w:val="36"/>
        </w:rPr>
      </w:pPr>
      <w:r>
        <w:br w:type="page"/>
      </w:r>
    </w:p>
    <w:p w14:paraId="5A61F064" w14:textId="77777777" w:rsidR="00A30DA4" w:rsidRDefault="00A30DA4">
      <w:pPr>
        <w:spacing w:after="200" w:line="276" w:lineRule="auto"/>
        <w:jc w:val="left"/>
        <w:rPr>
          <w:rFonts w:ascii="Arial" w:eastAsia="Arial" w:hAnsi="Arial"/>
          <w:sz w:val="36"/>
          <w:szCs w:val="36"/>
        </w:rPr>
      </w:pPr>
    </w:p>
    <w:p w14:paraId="7A500DCE" w14:textId="77777777" w:rsidR="00A30DA4" w:rsidRDefault="003F138A">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14:paraId="6C2EA419" w14:textId="77777777" w:rsidR="00A30DA4" w:rsidRDefault="003F138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45A547B" w14:textId="77777777" w:rsidR="00A30DA4" w:rsidRDefault="003F138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A30DA4" w14:paraId="41385129" w14:textId="77777777">
        <w:tc>
          <w:tcPr>
            <w:tcW w:w="2462" w:type="dxa"/>
          </w:tcPr>
          <w:p w14:paraId="2867E733" w14:textId="77777777" w:rsidR="00A30DA4" w:rsidRDefault="003F138A">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351D5450" w14:textId="77777777" w:rsidR="00A30DA4" w:rsidRDefault="003F138A">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A30DA4" w14:paraId="42B57878" w14:textId="77777777">
        <w:tc>
          <w:tcPr>
            <w:tcW w:w="2462" w:type="dxa"/>
          </w:tcPr>
          <w:p w14:paraId="288E7267" w14:textId="77777777" w:rsidR="00A30DA4" w:rsidRDefault="003F138A">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14:paraId="7BC7B175" w14:textId="77777777" w:rsidR="00A30DA4" w:rsidRDefault="003F138A">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6EFBFC1" w14:textId="77777777" w:rsidR="00A30DA4" w:rsidRDefault="003F138A">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269C1878" w14:textId="77777777" w:rsidR="00A30DA4" w:rsidRDefault="003F138A">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4D6386C3" w14:textId="77777777" w:rsidR="00A30DA4" w:rsidRDefault="003F138A">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Party;</w:t>
            </w:r>
            <w:proofErr w:type="gramEnd"/>
            <w:r>
              <w:rPr>
                <w:rFonts w:ascii="Arial" w:eastAsia="Arial" w:hAnsi="Arial"/>
                <w:color w:val="000000"/>
                <w:sz w:val="24"/>
                <w:szCs w:val="24"/>
              </w:rPr>
              <w:t xml:space="preserve"> </w:t>
            </w:r>
          </w:p>
          <w:p w14:paraId="7E35D881" w14:textId="77777777" w:rsidR="00A30DA4" w:rsidRDefault="003F138A">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72BFBBC1" w14:textId="77777777" w:rsidR="00A30DA4" w:rsidRDefault="003F138A">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4092D4B9" w14:textId="77777777" w:rsidR="00A30DA4" w:rsidRDefault="003F138A">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5BF78F8D" w14:textId="77777777" w:rsidR="00A30DA4" w:rsidRDefault="003F138A">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434B05F7" w14:textId="77777777" w:rsidR="00A30DA4" w:rsidRDefault="003F138A">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 xml:space="preserve">non-payment by the Monitored Company of any financial </w:t>
            </w:r>
            <w:proofErr w:type="gramStart"/>
            <w:r>
              <w:rPr>
                <w:rFonts w:ascii="Arial" w:eastAsia="Arial" w:hAnsi="Arial"/>
                <w:color w:val="000000"/>
                <w:sz w:val="24"/>
                <w:szCs w:val="24"/>
              </w:rPr>
              <w:t>indebtedness;</w:t>
            </w:r>
            <w:proofErr w:type="gramEnd"/>
          </w:p>
          <w:p w14:paraId="3030A43B" w14:textId="77777777" w:rsidR="00A30DA4" w:rsidRDefault="003F138A">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financial indebtedness of the Monitored Company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55193A8F" w14:textId="77777777" w:rsidR="00A30DA4" w:rsidRDefault="003F138A">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43E85298" w14:textId="77777777" w:rsidR="00A30DA4" w:rsidRDefault="003F138A">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A30DA4" w14:paraId="1F151F31" w14:textId="77777777">
        <w:tc>
          <w:tcPr>
            <w:tcW w:w="2462" w:type="dxa"/>
          </w:tcPr>
          <w:p w14:paraId="46DB78F9" w14:textId="77777777" w:rsidR="00A30DA4" w:rsidRDefault="003F138A">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6CBCB914" w14:textId="77777777" w:rsidR="00A30DA4" w:rsidRDefault="003F138A">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Call-Off]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A30DA4" w14:paraId="271A7240" w14:textId="77777777">
        <w:tc>
          <w:tcPr>
            <w:tcW w:w="2462" w:type="dxa"/>
          </w:tcPr>
          <w:p w14:paraId="085A5613" w14:textId="77777777" w:rsidR="00A30DA4" w:rsidRDefault="003F138A">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0CA4BE05" w14:textId="77777777" w:rsidR="00A30DA4" w:rsidRDefault="003F138A">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A30DA4" w14:paraId="0F3FBF02" w14:textId="77777777">
        <w:tc>
          <w:tcPr>
            <w:tcW w:w="2462" w:type="dxa"/>
          </w:tcPr>
          <w:p w14:paraId="3C9DD013" w14:textId="77777777" w:rsidR="00A30DA4" w:rsidRDefault="003F138A">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0D44460B" w14:textId="77777777" w:rsidR="00A30DA4" w:rsidRDefault="003F138A">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14:paraId="1B8F6D3F" w14:textId="77777777" w:rsidR="00A30DA4" w:rsidRDefault="003F13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2" w:name="_heading=h.147n2zr" w:colFirst="0" w:colLast="0"/>
      <w:bookmarkEnd w:id="12"/>
      <w:r>
        <w:rPr>
          <w:rFonts w:ascii="Arial Bold" w:eastAsia="Arial Bold" w:hAnsi="Arial Bold" w:cs="Arial Bold"/>
          <w:b/>
          <w:color w:val="000000"/>
          <w:sz w:val="24"/>
          <w:szCs w:val="24"/>
        </w:rPr>
        <w:t>When this Schedule applies</w:t>
      </w:r>
    </w:p>
    <w:p w14:paraId="685EC23B"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14:paraId="164E420E"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14:paraId="5348C6C9"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Framework Contract until the later of (a) the termination or expiry of the Framework Contract or (b) the latest date of termination or expiry of any call-off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Framework Contract (which might be after the date of termination or expiry of the Framework Contract); and</w:t>
      </w:r>
    </w:p>
    <w:p w14:paraId="29FEF399"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34D4019C" w14:textId="77777777" w:rsidR="00A30DA4" w:rsidRDefault="003F13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444E8D05"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3o7alnk" w:colFirst="0" w:colLast="0"/>
      <w:bookmarkEnd w:id="13"/>
      <w:r>
        <w:rPr>
          <w:rFonts w:ascii="Arial" w:eastAsia="Arial" w:hAnsi="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14:paraId="1484E05F"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Supplier shall promptly (and in any event within five (5) Working Days) notify the Relevant Authority in writing if there is any downgrade in the credit rating issued by any Rating Agency for a Monitored Company.</w:t>
      </w:r>
    </w:p>
    <w:p w14:paraId="48A05109"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Pr>
          <w:rFonts w:ascii="Arial" w:eastAsia="Arial" w:hAnsi="Arial"/>
          <w:b/>
          <w:color w:val="000000"/>
          <w:sz w:val="24"/>
          <w:szCs w:val="24"/>
          <w:highlight w:val="yellow"/>
        </w:rPr>
        <w:t>Guidance:</w:t>
      </w:r>
      <w:r>
        <w:rPr>
          <w:rFonts w:ascii="Arial" w:eastAsia="Arial" w:hAnsi="Arial"/>
          <w:color w:val="000000"/>
          <w:sz w:val="24"/>
          <w:szCs w:val="24"/>
        </w:rPr>
        <w:t xml:space="preserve"> </w:t>
      </w:r>
      <w:r>
        <w:rPr>
          <w:rFonts w:ascii="Arial" w:eastAsia="Arial" w:hAnsi="Arial"/>
          <w:b/>
          <w:color w:val="000000"/>
          <w:sz w:val="24"/>
          <w:szCs w:val="24"/>
        </w:rPr>
        <w:t>check</w:t>
      </w:r>
      <w:r>
        <w:rPr>
          <w:rFonts w:ascii="Arial" w:eastAsia="Arial" w:hAnsi="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14:paraId="4951ACC5" w14:textId="77777777" w:rsidR="00A30DA4" w:rsidRDefault="003F138A">
      <w:pPr>
        <w:ind w:firstLine="1134"/>
        <w:jc w:val="left"/>
        <w:rPr>
          <w:rFonts w:ascii="Arial" w:eastAsia="Arial" w:hAnsi="Arial"/>
          <w:sz w:val="24"/>
          <w:szCs w:val="24"/>
        </w:rPr>
      </w:pPr>
      <w:r>
        <w:rPr>
          <w:rFonts w:ascii="Arial" w:eastAsia="Arial" w:hAnsi="Arial"/>
          <w:noProof/>
          <w:sz w:val="24"/>
          <w:szCs w:val="24"/>
        </w:rPr>
        <w:drawing>
          <wp:inline distT="0" distB="0" distL="0" distR="0" wp14:anchorId="713AC460" wp14:editId="768C8ED5">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09507A3E" wp14:editId="6F6E4F8C">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14:paraId="5D5DEDFC" w14:textId="77777777" w:rsidR="00A30DA4" w:rsidRDefault="003F138A">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5"/>
        <w:tblW w:w="8317" w:type="dxa"/>
        <w:tblInd w:w="709" w:type="dxa"/>
        <w:tblLayout w:type="fixed"/>
        <w:tblLook w:val="0400" w:firstRow="0" w:lastRow="0" w:firstColumn="0" w:lastColumn="0" w:noHBand="0" w:noVBand="1"/>
      </w:tblPr>
      <w:tblGrid>
        <w:gridCol w:w="1524"/>
        <w:gridCol w:w="6793"/>
      </w:tblGrid>
      <w:tr w:rsidR="00A30DA4" w14:paraId="651176FE" w14:textId="77777777">
        <w:tc>
          <w:tcPr>
            <w:tcW w:w="1524" w:type="dxa"/>
          </w:tcPr>
          <w:p w14:paraId="777FD661"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7E502E69"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30DA4" w14:paraId="16F6D5CE" w14:textId="77777777">
        <w:tc>
          <w:tcPr>
            <w:tcW w:w="1524" w:type="dxa"/>
          </w:tcPr>
          <w:p w14:paraId="6A0ECA0F"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46A8ED8"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30DA4" w14:paraId="23194F6C" w14:textId="77777777">
        <w:tc>
          <w:tcPr>
            <w:tcW w:w="1524" w:type="dxa"/>
          </w:tcPr>
          <w:p w14:paraId="1674F171"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1F5F38F8"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A30DA4" w14:paraId="28B36D68" w14:textId="77777777">
        <w:tc>
          <w:tcPr>
            <w:tcW w:w="1524" w:type="dxa"/>
          </w:tcPr>
          <w:p w14:paraId="1D08A719"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6FFF1AC8" w14:textId="77777777" w:rsidR="00A30DA4" w:rsidRDefault="003F138A">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06790747" w14:textId="77777777" w:rsidR="00A30DA4" w:rsidRDefault="003F138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23ckvvd" w:colFirst="0" w:colLast="0"/>
      <w:bookmarkEnd w:id="14"/>
      <w:r>
        <w:rPr>
          <w:rFonts w:ascii="Arial" w:eastAsia="Arial" w:hAnsi="Arial"/>
          <w:color w:val="000000"/>
          <w:sz w:val="24"/>
          <w:szCs w:val="24"/>
        </w:rPr>
        <w:t xml:space="preserve">The Supplier shall: </w:t>
      </w:r>
    </w:p>
    <w:p w14:paraId="6C18CFC2"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0EE742AF"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ihv636" w:colFirst="0" w:colLast="0"/>
      <w:bookmarkEnd w:id="15"/>
      <w:r>
        <w:rPr>
          <w:rFonts w:ascii="Arial" w:eastAsia="Arial" w:hAnsi="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matter which could cause a Financial Distress Event.</w:t>
      </w:r>
    </w:p>
    <w:p w14:paraId="58F5FB21"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Company shall be deemed to have </w:t>
      </w:r>
      <w:r>
        <w:rPr>
          <w:rFonts w:ascii="Arial" w:eastAsia="Arial" w:hAnsi="Arial"/>
          <w:color w:val="000000"/>
          <w:sz w:val="24"/>
          <w:szCs w:val="24"/>
        </w:rPr>
        <w:lastRenderedPageBreak/>
        <w:t>dropped below the applicable Credit Rating Threshold if any of the Rating Agencies have rated the Monitored Company at or below the applicable Credit Rating Threshold.</w:t>
      </w:r>
    </w:p>
    <w:p w14:paraId="6FB00CBC" w14:textId="77777777" w:rsidR="00A30DA4" w:rsidRDefault="003F13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FE569C7"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32hioqz" w:colFirst="0" w:colLast="0"/>
      <w:bookmarkEnd w:id="16"/>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2F17DD46" w14:textId="77777777" w:rsidR="00A30DA4" w:rsidRDefault="003F138A">
      <w:pPr>
        <w:pBdr>
          <w:top w:val="nil"/>
          <w:left w:val="nil"/>
          <w:bottom w:val="nil"/>
          <w:right w:val="nil"/>
          <w:between w:val="nil"/>
        </w:pBdr>
        <w:tabs>
          <w:tab w:val="left" w:pos="1134"/>
        </w:tabs>
        <w:spacing w:before="120" w:after="120"/>
        <w:ind w:left="936" w:hanging="1004"/>
        <w:jc w:val="left"/>
        <w:rPr>
          <w:rFonts w:ascii="Arial" w:eastAsia="Arial" w:hAnsi="Arial"/>
          <w:color w:val="000000"/>
          <w:sz w:val="24"/>
          <w:szCs w:val="24"/>
        </w:rPr>
      </w:pPr>
      <w:bookmarkStart w:id="17" w:name="_heading=h.1hmsyys" w:colFirst="0" w:colLast="0"/>
      <w:bookmarkEnd w:id="17"/>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18" w:name="bookmark=id.41mghml" w:colFirst="0" w:colLast="0"/>
      <w:bookmarkEnd w:id="18"/>
      <w:r>
        <w:rPr>
          <w:rFonts w:ascii="Arial" w:eastAsia="Arial" w:hAnsi="Arial"/>
          <w:color w:val="000000"/>
          <w:sz w:val="24"/>
          <w:szCs w:val="24"/>
        </w:rPr>
        <w:t xml:space="preserve"> Monitored Company]</w:t>
      </w:r>
    </w:p>
    <w:p w14:paraId="41908213"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5FDADCDB"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6A57A21C"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3EF3033C" w14:textId="77777777" w:rsidR="00A30DA4" w:rsidRDefault="003F138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2grqrue" w:colFirst="0" w:colLast="0"/>
      <w:bookmarkEnd w:id="19"/>
      <w:r>
        <w:rPr>
          <w:rFonts w:ascii="Arial" w:eastAsia="Arial" w:hAnsi="Arial"/>
          <w:color w:val="000000"/>
          <w:sz w:val="24"/>
          <w:szCs w:val="24"/>
        </w:rPr>
        <w:t>The Supplier shall and shall procure that the other Monitored Companies shall:</w:t>
      </w:r>
    </w:p>
    <w:p w14:paraId="0BCFE054"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vx1227" w:colFirst="0" w:colLast="0"/>
      <w:bookmarkEnd w:id="20"/>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40DDAD97"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1" w:name="_heading=h.3fwokq0" w:colFirst="0" w:colLast="0"/>
      <w:bookmarkEnd w:id="21"/>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135940BE" w14:textId="77777777" w:rsidR="00A30DA4" w:rsidRDefault="003F138A">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6215660E" w14:textId="77777777" w:rsidR="00A30DA4" w:rsidRDefault="003F138A">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2" w:name="_heading=h.1v1yuxt" w:colFirst="0" w:colLast="0"/>
      <w:bookmarkEnd w:id="22"/>
      <w:r>
        <w:rPr>
          <w:rFonts w:ascii="Arial" w:eastAsia="Arial" w:hAnsi="Arial"/>
          <w:color w:val="000000"/>
          <w:sz w:val="24"/>
          <w:szCs w:val="24"/>
        </w:rPr>
        <w:lastRenderedPageBreak/>
        <w:t>provide such financial information relating to the Monitored Company as the Relevant Authority may reasonably require.</w:t>
      </w:r>
    </w:p>
    <w:p w14:paraId="69F9074B"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3" w:name="_heading=h.4f1mdlm" w:colFirst="0" w:colLast="0"/>
      <w:bookmarkEnd w:id="23"/>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1199AAC8"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4" w:name="_heading=h.2u6wntf" w:colFirst="0" w:colLast="0"/>
      <w:bookmarkEnd w:id="24"/>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F3968A9" w14:textId="77777777" w:rsidR="00A30DA4" w:rsidRDefault="003F138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5" w:name="_heading=h.19c6y18" w:colFirst="0" w:colLast="0"/>
      <w:bookmarkEnd w:id="25"/>
      <w:r>
        <w:rPr>
          <w:rFonts w:ascii="Arial" w:eastAsia="Arial" w:hAnsi="Arial"/>
          <w:color w:val="000000"/>
          <w:sz w:val="24"/>
          <w:szCs w:val="24"/>
        </w:rPr>
        <w:t>Following Approval of the Financial Distress Service Continuity Plan by the Relevant Authority, the Supplier shall:</w:t>
      </w:r>
    </w:p>
    <w:p w14:paraId="68710976"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6" w:name="_heading=h.3tbugp1" w:colFirst="0" w:colLast="0"/>
      <w:bookmarkEnd w:id="26"/>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w:t>
      </w:r>
      <w:proofErr w:type="gramStart"/>
      <w:r>
        <w:rPr>
          <w:rFonts w:ascii="Arial" w:eastAsia="Arial" w:hAnsi="Arial"/>
          <w:color w:val="000000"/>
          <w:sz w:val="24"/>
          <w:szCs w:val="24"/>
        </w:rPr>
        <w:t>Contract;</w:t>
      </w:r>
      <w:proofErr w:type="gramEnd"/>
    </w:p>
    <w:p w14:paraId="5384ED8D"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7" w:name="_heading=h.28h4qwu" w:colFirst="0" w:colLast="0"/>
      <w:bookmarkEnd w:id="27"/>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2D9A1377"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8" w:name="_heading=h.nmf14n" w:colFirst="0" w:colLast="0"/>
      <w:bookmarkEnd w:id="28"/>
      <w:r>
        <w:rPr>
          <w:rFonts w:ascii="Arial" w:eastAsia="Arial" w:hAnsi="Arial"/>
          <w:color w:val="000000"/>
          <w:sz w:val="24"/>
          <w:szCs w:val="24"/>
        </w:rPr>
        <w:t>comply with the Financial Distress Service Continuity Plan (including any updated Financial Distress Service Continuity Plan).</w:t>
      </w:r>
    </w:p>
    <w:p w14:paraId="0AE97C86"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9" w:name="_heading=h.37m2jsg" w:colFirst="0" w:colLast="0"/>
      <w:bookmarkEnd w:id="29"/>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3A5ACE50"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 Call-Off Contract with the Supplier.</w:t>
      </w:r>
    </w:p>
    <w:p w14:paraId="48A99E4A" w14:textId="77777777" w:rsidR="00A30DA4" w:rsidRDefault="003F13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 xml:space="preserve">When CCS or the Buyer can terminate for financial distress </w:t>
      </w:r>
    </w:p>
    <w:p w14:paraId="2E2A64CF" w14:textId="77777777" w:rsidR="00A30DA4" w:rsidRDefault="003F138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0" w:name="_heading=h.1mrcu09" w:colFirst="0" w:colLast="0"/>
      <w:bookmarkEnd w:id="30"/>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2B6A3091"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23D5FC93"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14:paraId="63475B55"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4387B41B" w14:textId="77777777" w:rsidR="00A30DA4" w:rsidRDefault="003F138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48153CAF" w14:textId="77777777" w:rsidR="00A30DA4" w:rsidRDefault="003F13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31" w:name="_heading=h.46r0co2" w:colFirst="0" w:colLast="0"/>
      <w:bookmarkEnd w:id="31"/>
      <w:r>
        <w:rPr>
          <w:rFonts w:ascii="Arial Bold" w:eastAsia="Arial Bold" w:hAnsi="Arial Bold" w:cs="Arial Bold"/>
          <w:b/>
          <w:color w:val="000000"/>
          <w:sz w:val="24"/>
          <w:szCs w:val="24"/>
        </w:rPr>
        <w:t>What happens If your credit rating is still good</w:t>
      </w:r>
    </w:p>
    <w:p w14:paraId="71C5ED59" w14:textId="77777777" w:rsidR="00A30DA4" w:rsidRDefault="003F138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12F5F20"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216128C4" w14:textId="77777777" w:rsidR="00A30DA4" w:rsidRDefault="003F13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14:paraId="2765AE63" w14:textId="77777777" w:rsidR="00A30DA4" w:rsidRDefault="00A30DA4"/>
    <w:p w14:paraId="02DFD4E0" w14:textId="77777777" w:rsidR="00A30DA4" w:rsidRDefault="00A30DA4">
      <w:pPr>
        <w:pBdr>
          <w:top w:val="nil"/>
          <w:left w:val="nil"/>
          <w:bottom w:val="nil"/>
          <w:right w:val="nil"/>
          <w:between w:val="nil"/>
        </w:pBdr>
        <w:spacing w:after="0"/>
        <w:jc w:val="left"/>
        <w:rPr>
          <w:rFonts w:ascii="Arial" w:eastAsia="Arial" w:hAnsi="Arial"/>
          <w:color w:val="FFFFFF"/>
          <w:sz w:val="24"/>
          <w:szCs w:val="24"/>
        </w:rPr>
      </w:pPr>
      <w:bookmarkStart w:id="32" w:name="_heading=h.4i7ojhp" w:colFirst="0" w:colLast="0"/>
      <w:bookmarkEnd w:id="32"/>
    </w:p>
    <w:p w14:paraId="5FF63EBC" w14:textId="77777777" w:rsidR="00A30DA4" w:rsidRDefault="003F138A">
      <w:pPr>
        <w:keepNext/>
        <w:pBdr>
          <w:top w:val="nil"/>
          <w:left w:val="nil"/>
          <w:bottom w:val="nil"/>
          <w:right w:val="nil"/>
          <w:between w:val="nil"/>
        </w:pBdr>
        <w:ind w:firstLine="426"/>
        <w:jc w:val="left"/>
        <w:rPr>
          <w:rFonts w:ascii="Arial" w:eastAsia="Arial" w:hAnsi="Arial"/>
          <w:b/>
          <w:smallCaps/>
          <w:color w:val="000000"/>
          <w:sz w:val="24"/>
          <w:szCs w:val="24"/>
        </w:rPr>
      </w:pPr>
      <w:bookmarkStart w:id="33" w:name="_heading=h.2lwamvv" w:colFirst="0" w:colLast="0"/>
      <w:bookmarkEnd w:id="33"/>
      <w:r>
        <w:br w:type="page"/>
      </w:r>
    </w:p>
    <w:p w14:paraId="04D19655" w14:textId="77777777" w:rsidR="00A30DA4" w:rsidRDefault="003F138A">
      <w:pPr>
        <w:keepNext/>
        <w:pBdr>
          <w:top w:val="nil"/>
          <w:left w:val="nil"/>
          <w:bottom w:val="nil"/>
          <w:right w:val="nil"/>
          <w:between w:val="nil"/>
        </w:pBdr>
        <w:ind w:firstLine="426"/>
        <w:jc w:val="left"/>
        <w:rPr>
          <w:rFonts w:ascii="Arial" w:eastAsia="Arial" w:hAnsi="Arial"/>
          <w:b/>
          <w:smallCaps/>
          <w:color w:val="000000"/>
          <w:sz w:val="36"/>
          <w:szCs w:val="36"/>
        </w:rPr>
      </w:pPr>
      <w:bookmarkStart w:id="34" w:name="_heading=h.111kx3o" w:colFirst="0" w:colLast="0"/>
      <w:bookmarkEnd w:id="34"/>
      <w:r>
        <w:rPr>
          <w:rFonts w:ascii="Arial" w:eastAsia="Arial" w:hAnsi="Arial"/>
          <w:b/>
          <w:smallCaps/>
          <w:color w:val="000000"/>
          <w:sz w:val="36"/>
          <w:szCs w:val="36"/>
        </w:rPr>
        <w:lastRenderedPageBreak/>
        <w:t>Appendix 1: RATING AGENCIES</w:t>
      </w:r>
    </w:p>
    <w:p w14:paraId="7780F1CC"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Dunn and Bradstreet</w:t>
      </w:r>
    </w:p>
    <w:p w14:paraId="28C924C8" w14:textId="77777777" w:rsidR="00A30DA4" w:rsidRDefault="003F138A">
      <w:pPr>
        <w:keepNext/>
        <w:pBdr>
          <w:top w:val="nil"/>
          <w:left w:val="nil"/>
          <w:bottom w:val="nil"/>
          <w:right w:val="nil"/>
          <w:between w:val="nil"/>
        </w:pBdr>
        <w:ind w:firstLine="426"/>
        <w:jc w:val="left"/>
        <w:rPr>
          <w:rFonts w:ascii="Arial" w:eastAsia="Arial" w:hAnsi="Arial"/>
          <w:b/>
          <w:smallCaps/>
          <w:color w:val="000000"/>
          <w:sz w:val="24"/>
          <w:szCs w:val="24"/>
        </w:rPr>
      </w:pPr>
      <w:bookmarkStart w:id="35" w:name="_heading=h.3l18frh" w:colFirst="0" w:colLast="0"/>
      <w:bookmarkEnd w:id="35"/>
      <w:r>
        <w:br w:type="page"/>
      </w:r>
      <w:r>
        <w:rPr>
          <w:rFonts w:ascii="Arial" w:eastAsia="Arial" w:hAnsi="Arial"/>
          <w:b/>
          <w:smallCaps/>
          <w:color w:val="000000"/>
          <w:sz w:val="36"/>
          <w:szCs w:val="36"/>
        </w:rPr>
        <w:lastRenderedPageBreak/>
        <w:t>Appendix 2: CREDIT RATINGS &amp; CREDIT RATING THRESHOLDS</w:t>
      </w:r>
    </w:p>
    <w:p w14:paraId="4794E84B" w14:textId="77777777" w:rsidR="00A30DA4" w:rsidRDefault="003F138A">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6"/>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A30DA4" w14:paraId="4DFD78F2" w14:textId="77777777">
        <w:trPr>
          <w:gridAfter w:val="1"/>
          <w:wAfter w:w="7" w:type="dxa"/>
        </w:trPr>
        <w:tc>
          <w:tcPr>
            <w:tcW w:w="3080" w:type="dxa"/>
            <w:tcBorders>
              <w:top w:val="single" w:sz="4" w:space="0" w:color="000000"/>
            </w:tcBorders>
            <w:shd w:val="clear" w:color="auto" w:fill="FFFFFF"/>
          </w:tcPr>
          <w:p w14:paraId="36A064B5" w14:textId="77777777" w:rsidR="00A30DA4" w:rsidRDefault="003F138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424436F7" w14:textId="77777777" w:rsidR="00A30DA4" w:rsidRDefault="003F138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A30DA4" w14:paraId="2291BE5B" w14:textId="77777777">
        <w:tc>
          <w:tcPr>
            <w:tcW w:w="3080" w:type="dxa"/>
            <w:shd w:val="clear" w:color="auto" w:fill="FFFFFF"/>
          </w:tcPr>
          <w:p w14:paraId="1015C63E"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14:paraId="2E62E256" w14:textId="26B25B8D" w:rsidR="00A30DA4" w:rsidRDefault="00EA140A">
            <w:pPr>
              <w:keepNext/>
              <w:pBdr>
                <w:top w:val="nil"/>
                <w:left w:val="nil"/>
                <w:bottom w:val="nil"/>
                <w:right w:val="nil"/>
                <w:between w:val="nil"/>
              </w:pBdr>
              <w:spacing w:before="240" w:after="120"/>
              <w:ind w:left="142"/>
              <w:jc w:val="left"/>
              <w:rPr>
                <w:rFonts w:ascii="Arial" w:eastAsia="Arial" w:hAnsi="Arial"/>
                <w:color w:val="000000"/>
                <w:sz w:val="24"/>
                <w:szCs w:val="24"/>
              </w:rPr>
            </w:pPr>
            <w:bookmarkStart w:id="36" w:name="_heading=h.206ipza" w:colFirst="0" w:colLast="0"/>
            <w:bookmarkEnd w:id="36"/>
            <w:r>
              <w:rPr>
                <w:rFonts w:ascii="Arial" w:eastAsia="Arial" w:hAnsi="Arial"/>
                <w:color w:val="000000"/>
                <w:sz w:val="24"/>
                <w:szCs w:val="24"/>
              </w:rPr>
              <w:t>70</w:t>
            </w:r>
          </w:p>
        </w:tc>
      </w:tr>
      <w:tr w:rsidR="00A30DA4" w14:paraId="74FE7418" w14:textId="77777777">
        <w:tc>
          <w:tcPr>
            <w:tcW w:w="3080" w:type="dxa"/>
            <w:shd w:val="clear" w:color="auto" w:fill="FFFFFF"/>
          </w:tcPr>
          <w:p w14:paraId="4C407CFA"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8" w:type="dxa"/>
            <w:gridSpan w:val="2"/>
            <w:shd w:val="clear" w:color="auto" w:fill="FFFFFF"/>
          </w:tcPr>
          <w:p w14:paraId="61076D71" w14:textId="77777777" w:rsidR="00A30DA4" w:rsidRDefault="00A30DA4">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A30DA4" w14:paraId="5BFE4632" w14:textId="77777777">
        <w:trPr>
          <w:gridAfter w:val="1"/>
          <w:wAfter w:w="7" w:type="dxa"/>
        </w:trPr>
        <w:tc>
          <w:tcPr>
            <w:tcW w:w="3080" w:type="dxa"/>
            <w:tcBorders>
              <w:bottom w:val="single" w:sz="4" w:space="0" w:color="000000"/>
            </w:tcBorders>
            <w:shd w:val="clear" w:color="auto" w:fill="FFFFFF"/>
          </w:tcPr>
          <w:p w14:paraId="60B8BA12" w14:textId="77777777" w:rsidR="00A30DA4" w:rsidRDefault="003F138A">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29C74066" w14:textId="77777777" w:rsidR="00A30DA4" w:rsidRDefault="00A30DA4">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44D7CE65" w14:textId="77777777" w:rsidR="00A30DA4" w:rsidRDefault="00A30DA4">
      <w:pPr>
        <w:spacing w:after="0"/>
        <w:rPr>
          <w:rFonts w:ascii="Arial" w:eastAsia="Arial" w:hAnsi="Arial"/>
          <w:sz w:val="24"/>
          <w:szCs w:val="24"/>
        </w:rPr>
      </w:pPr>
    </w:p>
    <w:p w14:paraId="2615D78D" w14:textId="77777777" w:rsidR="00A30DA4" w:rsidRDefault="00A30DA4">
      <w:pPr>
        <w:spacing w:after="200" w:line="276" w:lineRule="auto"/>
        <w:jc w:val="left"/>
        <w:rPr>
          <w:rFonts w:ascii="Arial" w:eastAsia="Arial" w:hAnsi="Arial"/>
          <w:sz w:val="24"/>
          <w:szCs w:val="24"/>
        </w:rPr>
      </w:pPr>
    </w:p>
    <w:sectPr w:rsidR="00A30DA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0EC8" w14:textId="77777777" w:rsidR="00C914F2" w:rsidRDefault="00C914F2">
      <w:pPr>
        <w:spacing w:after="0"/>
      </w:pPr>
      <w:r>
        <w:separator/>
      </w:r>
    </w:p>
  </w:endnote>
  <w:endnote w:type="continuationSeparator" w:id="0">
    <w:p w14:paraId="5A5B0821" w14:textId="77777777" w:rsidR="00C914F2" w:rsidRDefault="00C91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EF85" w14:textId="77777777" w:rsidR="00D732D6" w:rsidRDefault="00D73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F6BD" w14:textId="77777777" w:rsidR="00D732D6" w:rsidRDefault="00D732D6" w:rsidP="00D732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62319F2D" w14:textId="77777777" w:rsidR="00D732D6" w:rsidRDefault="00D732D6" w:rsidP="00D732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A0782A">
      <w:rPr>
        <w:rFonts w:ascii="Arial" w:eastAsia="Arial" w:hAnsi="Arial"/>
        <w:color w:val="000000"/>
        <w:sz w:val="20"/>
        <w:szCs w:val="20"/>
      </w:rPr>
      <w:t>Call-Off Ref: CCSE22A05</w:t>
    </w:r>
  </w:p>
  <w:p w14:paraId="24B47E7B" w14:textId="77777777" w:rsidR="00D732D6" w:rsidRDefault="00D732D6" w:rsidP="00D732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p w14:paraId="3B64F533" w14:textId="77777777" w:rsidR="00D732D6" w:rsidRPr="00A0782A" w:rsidRDefault="00D732D6" w:rsidP="00D732D6">
    <w:pPr>
      <w:pStyle w:val="Footer"/>
      <w:rPr>
        <w:rFonts w:ascii="Arial" w:hAnsi="Arial"/>
      </w:rPr>
    </w:pPr>
    <w:r w:rsidRPr="00A0782A">
      <w:rPr>
        <w:rFonts w:ascii="Arial" w:eastAsia="Arial" w:hAnsi="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2B1F6811" w14:textId="77777777" w:rsidR="00D732D6" w:rsidRDefault="00D732D6" w:rsidP="00D732D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6EE8130A" w14:textId="77777777" w:rsidR="00A30DA4" w:rsidRDefault="00A30DA4" w:rsidP="00D732D6">
    <w:pPr>
      <w:tabs>
        <w:tab w:val="center" w:pos="4513"/>
        <w:tab w:val="right" w:pos="9026"/>
      </w:tabs>
      <w:spacing w:after="0"/>
      <w:rPr>
        <w:rFonts w:ascii="Arial" w:eastAsia="Arial" w:hAnsi="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372E8" w14:textId="77777777" w:rsidR="00A30DA4" w:rsidRDefault="003F138A">
    <w:pPr>
      <w:tabs>
        <w:tab w:val="center" w:pos="4513"/>
        <w:tab w:val="right" w:pos="9026"/>
      </w:tabs>
      <w:spacing w:after="0"/>
      <w:rPr>
        <w:color w:val="BFBFBF"/>
      </w:rPr>
    </w:pPr>
    <w:r>
      <w:rPr>
        <w:color w:val="BFBFBF"/>
      </w:rPr>
      <w:t>Framework Ref: RM</w:t>
    </w:r>
    <w:r>
      <w:rPr>
        <w:color w:val="BFBFBF"/>
      </w:rPr>
      <w:tab/>
      <w:t xml:space="preserve">                                           </w:t>
    </w:r>
  </w:p>
  <w:p w14:paraId="0D9C08CC" w14:textId="77777777" w:rsidR="00A30DA4" w:rsidRDefault="003F138A">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360A3DC5" w14:textId="77777777" w:rsidR="00A30DA4" w:rsidRDefault="003F138A">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9AE9" w14:textId="77777777" w:rsidR="00C914F2" w:rsidRDefault="00C914F2">
      <w:pPr>
        <w:spacing w:after="0"/>
      </w:pPr>
      <w:r>
        <w:separator/>
      </w:r>
    </w:p>
  </w:footnote>
  <w:footnote w:type="continuationSeparator" w:id="0">
    <w:p w14:paraId="1C4F6BC7" w14:textId="77777777" w:rsidR="00C914F2" w:rsidRDefault="00C91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53D82" w14:textId="77777777" w:rsidR="00D732D6" w:rsidRDefault="00D732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430E" w14:textId="77777777" w:rsidR="00A30DA4" w:rsidRPr="00D732D6" w:rsidRDefault="00D732D6" w:rsidP="00D732D6">
    <w:pPr>
      <w:pStyle w:val="Header"/>
      <w:jc w:val="center"/>
      <w:rPr>
        <w:rFonts w:eastAsia="Arial"/>
        <w:b/>
      </w:rPr>
    </w:pPr>
    <w:r>
      <w:rPr>
        <w:rFonts w:eastAsia="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0B987" w14:textId="77777777" w:rsidR="00D732D6" w:rsidRDefault="00D732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BA1"/>
    <w:multiLevelType w:val="multilevel"/>
    <w:tmpl w:val="611498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3B63FF"/>
    <w:multiLevelType w:val="multilevel"/>
    <w:tmpl w:val="F970FC0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D052DF5"/>
    <w:multiLevelType w:val="multilevel"/>
    <w:tmpl w:val="B5507090"/>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127534"/>
    <w:multiLevelType w:val="multilevel"/>
    <w:tmpl w:val="33A4A2BC"/>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AA00F81"/>
    <w:multiLevelType w:val="multilevel"/>
    <w:tmpl w:val="FC725A9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72317144">
    <w:abstractNumId w:val="4"/>
  </w:num>
  <w:num w:numId="2" w16cid:durableId="2065255476">
    <w:abstractNumId w:val="1"/>
  </w:num>
  <w:num w:numId="3" w16cid:durableId="709770084">
    <w:abstractNumId w:val="0"/>
  </w:num>
  <w:num w:numId="4" w16cid:durableId="617178168">
    <w:abstractNumId w:val="3"/>
  </w:num>
  <w:num w:numId="5" w16cid:durableId="25451955">
    <w:abstractNumId w:val="2"/>
  </w:num>
  <w:num w:numId="6" w16cid:durableId="13285586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0067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DA4"/>
    <w:rsid w:val="00126E85"/>
    <w:rsid w:val="003F138A"/>
    <w:rsid w:val="004A5529"/>
    <w:rsid w:val="004E3CC6"/>
    <w:rsid w:val="004F0F20"/>
    <w:rsid w:val="007E484A"/>
    <w:rsid w:val="009073E1"/>
    <w:rsid w:val="009300F4"/>
    <w:rsid w:val="00A224F8"/>
    <w:rsid w:val="00A30DA4"/>
    <w:rsid w:val="00AD627C"/>
    <w:rsid w:val="00AF2C0B"/>
    <w:rsid w:val="00B96B3F"/>
    <w:rsid w:val="00C914F2"/>
    <w:rsid w:val="00D732D6"/>
    <w:rsid w:val="00E44D65"/>
    <w:rsid w:val="00E83789"/>
    <w:rsid w:val="00EA1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C0161"/>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strategic-supplie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KynQNmk2yrxEXZTuX+AZ0LCcRA==">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6268</Words>
  <Characters>35734</Characters>
  <Application>Microsoft Office Word</Application>
  <DocSecurity>0</DocSecurity>
  <Lines>297</Lines>
  <Paragraphs>83</Paragraphs>
  <ScaleCrop>false</ScaleCrop>
  <Company/>
  <LinksUpToDate>false</LinksUpToDate>
  <CharactersWithSpaces>41919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 Congreve</cp:lastModifiedBy>
  <cp:revision>2</cp:revision>
  <dcterms:created xsi:type="dcterms:W3CDTF">2023-08-01T10:18:00Z</dcterms:created>
  <dcterms:modified xsi:type="dcterms:W3CDTF">2023-08-01T10:18:00Z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